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46C9AB4F"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Pr="003A26BC">
        <w:rPr>
          <w:rFonts w:eastAsia="SimSun" w:cs="Arial"/>
          <w:b/>
          <w:kern w:val="0"/>
          <w:sz w:val="28"/>
          <w:szCs w:val="28"/>
          <w:lang w:val="en-US" w:eastAsia="en-US"/>
        </w:rPr>
        <w:t>#</w:t>
      </w:r>
      <w:r w:rsidR="00D70268">
        <w:rPr>
          <w:rFonts w:eastAsia="SimSun" w:cs="Arial"/>
          <w:b/>
          <w:kern w:val="0"/>
          <w:sz w:val="28"/>
          <w:szCs w:val="28"/>
          <w:lang w:val="en-US" w:eastAsia="en-US"/>
        </w:rPr>
        <w:t>107-bis</w:t>
      </w:r>
      <w:r w:rsidR="00CB447F"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742EA3" w:rsidRPr="00742EA3">
        <w:rPr>
          <w:rFonts w:eastAsia="SimSun" w:cs="Arial"/>
          <w:b/>
          <w:kern w:val="0"/>
          <w:sz w:val="28"/>
          <w:szCs w:val="28"/>
          <w:lang w:val="en-US" w:eastAsia="en-US"/>
        </w:rPr>
        <w:t>R2-1913371</w:t>
      </w:r>
    </w:p>
    <w:p w14:paraId="0701DC79" w14:textId="163333C9" w:rsidR="001841BA" w:rsidRDefault="00D70268" w:rsidP="003A26BC">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Chongqing</w:t>
      </w:r>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China</w:t>
      </w:r>
      <w:r w:rsidR="003A26BC" w:rsidRPr="003A26BC">
        <w:rPr>
          <w:rFonts w:eastAsia="SimSun" w:cs="Arial"/>
          <w:b/>
          <w:kern w:val="0"/>
          <w:sz w:val="28"/>
          <w:szCs w:val="28"/>
          <w:lang w:val="en-US" w:eastAsia="en-US"/>
        </w:rPr>
        <w:t xml:space="preserve">, </w:t>
      </w:r>
      <w:r>
        <w:rPr>
          <w:rFonts w:eastAsia="SimSun" w:cs="Arial"/>
          <w:b/>
          <w:kern w:val="0"/>
          <w:sz w:val="28"/>
          <w:szCs w:val="28"/>
          <w:lang w:val="en-US" w:eastAsia="en-US"/>
        </w:rPr>
        <w:t>14</w:t>
      </w:r>
      <w:r w:rsidR="003A26BC" w:rsidRPr="003A26BC">
        <w:rPr>
          <w:rFonts w:eastAsia="SimSun" w:cs="Arial"/>
          <w:b/>
          <w:kern w:val="0"/>
          <w:sz w:val="28"/>
          <w:szCs w:val="28"/>
          <w:lang w:val="en-US" w:eastAsia="en-US"/>
        </w:rPr>
        <w:t>–</w:t>
      </w:r>
      <w:r>
        <w:rPr>
          <w:rFonts w:eastAsia="SimSun" w:cs="Arial"/>
          <w:b/>
          <w:kern w:val="0"/>
          <w:sz w:val="28"/>
          <w:szCs w:val="28"/>
          <w:lang w:val="en-US" w:eastAsia="en-US"/>
        </w:rPr>
        <w:t>18</w:t>
      </w:r>
      <w:r w:rsidR="001C2AF5" w:rsidRPr="003A26BC">
        <w:rPr>
          <w:rFonts w:eastAsia="SimSun" w:cs="Arial"/>
          <w:b/>
          <w:kern w:val="0"/>
          <w:sz w:val="28"/>
          <w:szCs w:val="28"/>
          <w:lang w:val="en-US" w:eastAsia="en-US"/>
        </w:rPr>
        <w:t xml:space="preserve"> </w:t>
      </w:r>
      <w:proofErr w:type="gramStart"/>
      <w:r>
        <w:rPr>
          <w:rFonts w:eastAsia="SimSun" w:cs="Arial"/>
          <w:b/>
          <w:kern w:val="0"/>
          <w:sz w:val="28"/>
          <w:szCs w:val="28"/>
          <w:lang w:val="en-US" w:eastAsia="en-US"/>
        </w:rPr>
        <w:t>October</w:t>
      </w:r>
      <w:r w:rsidR="001C2AF5" w:rsidRPr="003A26BC">
        <w:rPr>
          <w:rFonts w:eastAsia="SimSun" w:cs="Arial"/>
          <w:b/>
          <w:kern w:val="0"/>
          <w:sz w:val="28"/>
          <w:szCs w:val="28"/>
          <w:lang w:val="en-US" w:eastAsia="en-US"/>
        </w:rPr>
        <w:t>,</w:t>
      </w:r>
      <w:proofErr w:type="gramEnd"/>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2019</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50C5F802" w:rsidR="001841BA" w:rsidRDefault="001C2AF5" w:rsidP="003A26B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140571">
        <w:rPr>
          <w:rFonts w:cs="Arial"/>
          <w:b/>
          <w:bCs/>
          <w:snapToGrid w:val="0"/>
          <w:kern w:val="0"/>
          <w:sz w:val="28"/>
          <w:szCs w:val="28"/>
        </w:rPr>
        <w:t>, Sanechips</w:t>
      </w:r>
    </w:p>
    <w:p w14:paraId="1709523D" w14:textId="56F8EDF7"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462071" w:rsidRPr="00462071">
        <w:rPr>
          <w:rFonts w:cs="Arial"/>
          <w:b/>
          <w:bCs/>
          <w:snapToGrid w:val="0"/>
          <w:kern w:val="0"/>
          <w:sz w:val="28"/>
          <w:szCs w:val="28"/>
        </w:rPr>
        <w:t xml:space="preserve">RAR MAC PDU </w:t>
      </w:r>
      <w:r w:rsidR="008F10DA">
        <w:rPr>
          <w:rFonts w:cs="Arial"/>
          <w:b/>
          <w:bCs/>
          <w:snapToGrid w:val="0"/>
          <w:kern w:val="0"/>
          <w:sz w:val="28"/>
          <w:szCs w:val="28"/>
        </w:rPr>
        <w:t xml:space="preserve">design </w:t>
      </w:r>
      <w:r w:rsidR="00462071" w:rsidRPr="00462071">
        <w:rPr>
          <w:rFonts w:cs="Arial"/>
          <w:b/>
          <w:bCs/>
          <w:snapToGrid w:val="0"/>
          <w:kern w:val="0"/>
          <w:sz w:val="28"/>
          <w:szCs w:val="28"/>
        </w:rPr>
        <w:t>for NR-U</w:t>
      </w:r>
      <w:r>
        <w:rPr>
          <w:rFonts w:cs="Arial"/>
          <w:b/>
          <w:bCs/>
          <w:snapToGrid w:val="0"/>
          <w:kern w:val="0"/>
          <w:sz w:val="28"/>
          <w:szCs w:val="28"/>
        </w:rPr>
        <w:t xml:space="preserve"> </w:t>
      </w:r>
    </w:p>
    <w:p w14:paraId="5BA4A7DB" w14:textId="26E9A70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462071" w:rsidRPr="00462071">
        <w:rPr>
          <w:rFonts w:cs="Arial"/>
          <w:b/>
          <w:bCs/>
          <w:snapToGrid w:val="0"/>
          <w:kern w:val="0"/>
          <w:sz w:val="28"/>
          <w:szCs w:val="28"/>
        </w:rPr>
        <w:t>6.2.2.1</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6B181D3F" w14:textId="77777777" w:rsidR="00462071" w:rsidRDefault="00462071" w:rsidP="00462071">
      <w:pPr>
        <w:spacing w:before="180"/>
        <w:rPr>
          <w:rFonts w:eastAsia="SimSun"/>
          <w:lang w:val="en-US" w:eastAsia="zh-CN"/>
        </w:rPr>
      </w:pPr>
      <w:r>
        <w:rPr>
          <w:rFonts w:eastAsia="SimSun" w:hint="eastAsia"/>
          <w:lang w:val="en-US" w:eastAsia="zh-CN"/>
        </w:rPr>
        <w:t xml:space="preserve">In RAN2 #107 [1], the agreement on including LSBs of SFN in Msg2 was reached as follows: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1"/>
      </w:tblGrid>
      <w:tr w:rsidR="00462071" w:rsidRPr="00DA7357" w14:paraId="590474C9" w14:textId="77777777" w:rsidTr="009A6F34">
        <w:tc>
          <w:tcPr>
            <w:tcW w:w="9501" w:type="dxa"/>
            <w:shd w:val="clear" w:color="auto" w:fill="auto"/>
          </w:tcPr>
          <w:p w14:paraId="1726D886" w14:textId="542D9718" w:rsidR="00462071" w:rsidRPr="00DA7357" w:rsidRDefault="00473B6A" w:rsidP="00473B6A">
            <w:pPr>
              <w:rPr>
                <w:lang w:eastAsia="ko-KR"/>
              </w:rPr>
            </w:pPr>
            <w:bookmarkStart w:id="5" w:name="OLE_LINK21"/>
            <w:r>
              <w:rPr>
                <w:lang w:eastAsia="ko-KR"/>
              </w:rPr>
              <w:t xml:space="preserve">=&gt; </w:t>
            </w:r>
            <w:r w:rsidR="00462071" w:rsidRPr="00DA7357">
              <w:rPr>
                <w:lang w:eastAsia="ko-KR"/>
              </w:rPr>
              <w:t xml:space="preserve">Will support extension of RAR window without modifying RA-RNTI. </w:t>
            </w:r>
          </w:p>
          <w:p w14:paraId="484D500A" w14:textId="2A331F97" w:rsidR="00462071" w:rsidRPr="00DA7357" w:rsidRDefault="00473B6A" w:rsidP="00473B6A">
            <w:pPr>
              <w:rPr>
                <w:rFonts w:eastAsia="SimSun"/>
                <w:lang w:val="en-US" w:eastAsia="zh-CN"/>
              </w:rPr>
            </w:pPr>
            <w:r>
              <w:rPr>
                <w:lang w:eastAsia="ko-KR"/>
              </w:rPr>
              <w:t xml:space="preserve">=&gt; </w:t>
            </w:r>
            <w:r w:rsidR="00462071" w:rsidRPr="00DA7357">
              <w:rPr>
                <w:lang w:eastAsia="ko-KR"/>
              </w:rPr>
              <w:t>Include LSBs of SFN in MSG2</w:t>
            </w:r>
            <w:bookmarkEnd w:id="5"/>
          </w:p>
        </w:tc>
      </w:tr>
    </w:tbl>
    <w:p w14:paraId="1B01251A" w14:textId="102DFA50" w:rsidR="00462071" w:rsidRDefault="00462071" w:rsidP="00462071">
      <w:pPr>
        <w:spacing w:before="180"/>
        <w:rPr>
          <w:rFonts w:eastAsia="SimSun"/>
          <w:lang w:val="en-US" w:eastAsia="zh-CN"/>
        </w:rPr>
      </w:pPr>
      <w:r>
        <w:rPr>
          <w:rFonts w:eastAsia="SimSun" w:hint="eastAsia"/>
          <w:lang w:val="en-US" w:eastAsia="zh-CN"/>
        </w:rPr>
        <w:t>In addition, in RAN1 #97, LBT c</w:t>
      </w:r>
      <w:bookmarkStart w:id="6" w:name="_GoBack"/>
      <w:bookmarkEnd w:id="6"/>
      <w:r>
        <w:rPr>
          <w:rFonts w:eastAsia="SimSun" w:hint="eastAsia"/>
          <w:lang w:val="en-US" w:eastAsia="zh-CN"/>
        </w:rPr>
        <w:t>ategory for Msg3 initial transmission will be provided to UE in RAR.</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9"/>
      </w:tblGrid>
      <w:tr w:rsidR="00462071" w:rsidRPr="00DA7357" w14:paraId="3FDD2234" w14:textId="77777777" w:rsidTr="009A6F34">
        <w:tc>
          <w:tcPr>
            <w:tcW w:w="8399" w:type="dxa"/>
            <w:shd w:val="clear" w:color="auto" w:fill="auto"/>
          </w:tcPr>
          <w:p w14:paraId="15F9275F" w14:textId="77777777" w:rsidR="00462071" w:rsidRPr="00DA7357" w:rsidRDefault="00462071" w:rsidP="00473B6A">
            <w:r w:rsidRPr="00DA7357">
              <w:t>Agreement:</w:t>
            </w:r>
          </w:p>
          <w:p w14:paraId="12682196" w14:textId="77777777" w:rsidR="00462071" w:rsidRPr="00DA7357" w:rsidRDefault="00462071" w:rsidP="00473B6A">
            <w:pPr>
              <w:rPr>
                <w:iCs/>
              </w:rPr>
            </w:pPr>
            <w:r w:rsidRPr="00DA7357">
              <w:t xml:space="preserve">LBT category for </w:t>
            </w:r>
            <w:proofErr w:type="spellStart"/>
            <w:r w:rsidRPr="00DA7357">
              <w:t>msg</w:t>
            </w:r>
            <w:proofErr w:type="spellEnd"/>
            <w:r w:rsidRPr="00DA7357">
              <w:t xml:space="preserve"> 3 initial transmission is provided to the UE in RAR</w:t>
            </w:r>
          </w:p>
        </w:tc>
      </w:tr>
    </w:tbl>
    <w:p w14:paraId="2175ECE6" w14:textId="77777777" w:rsidR="00462071" w:rsidRDefault="00462071" w:rsidP="00462071">
      <w:pPr>
        <w:spacing w:before="180"/>
        <w:rPr>
          <w:rFonts w:eastAsia="SimSun"/>
          <w:lang w:val="en-US" w:eastAsia="zh-CN"/>
        </w:rPr>
      </w:pPr>
      <w:r>
        <w:rPr>
          <w:rFonts w:eastAsia="SimSun" w:hint="eastAsia"/>
          <w:lang w:val="en-US" w:eastAsia="zh-CN"/>
        </w:rPr>
        <w:t xml:space="preserve">According to the agreements above, </w:t>
      </w:r>
      <w:r>
        <w:rPr>
          <w:rFonts w:eastAsia="SimSun"/>
          <w:lang w:val="en-US" w:eastAsia="zh-CN"/>
        </w:rPr>
        <w:t xml:space="preserve">the following new </w:t>
      </w:r>
      <w:r>
        <w:rPr>
          <w:rFonts w:eastAsia="SimSun" w:hint="eastAsia"/>
          <w:lang w:val="en-US" w:eastAsia="zh-CN"/>
        </w:rPr>
        <w:t>information should be included in the MAC PDU for random access response</w:t>
      </w:r>
      <w:r>
        <w:rPr>
          <w:rFonts w:eastAsia="SimSun"/>
          <w:lang w:val="en-US" w:eastAsia="zh-CN"/>
        </w:rPr>
        <w:t>:</w:t>
      </w:r>
    </w:p>
    <w:p w14:paraId="440DFC63" w14:textId="24CF72AB" w:rsidR="00462071" w:rsidRPr="00462071" w:rsidRDefault="00462071" w:rsidP="00462071">
      <w:pPr>
        <w:pStyle w:val="ListParagraph"/>
        <w:numPr>
          <w:ilvl w:val="0"/>
          <w:numId w:val="19"/>
        </w:numPr>
        <w:ind w:firstLineChars="0"/>
        <w:rPr>
          <w:lang w:val="en-US" w:eastAsia="zh-CN"/>
        </w:rPr>
      </w:pPr>
      <w:r w:rsidRPr="00462071">
        <w:rPr>
          <w:rFonts w:hint="eastAsia"/>
          <w:lang w:val="en-US" w:eastAsia="zh-CN"/>
        </w:rPr>
        <w:t>LSBs of SFN</w:t>
      </w:r>
    </w:p>
    <w:p w14:paraId="67982AB8" w14:textId="3CB04CFB" w:rsidR="00462071" w:rsidRPr="00462071" w:rsidRDefault="00462071" w:rsidP="00462071">
      <w:pPr>
        <w:pStyle w:val="ListParagraph"/>
        <w:numPr>
          <w:ilvl w:val="0"/>
          <w:numId w:val="19"/>
        </w:numPr>
        <w:ind w:firstLineChars="0"/>
        <w:rPr>
          <w:lang w:val="en-US" w:eastAsia="zh-CN"/>
        </w:rPr>
      </w:pPr>
      <w:r w:rsidRPr="00462071">
        <w:rPr>
          <w:rFonts w:hint="eastAsia"/>
          <w:lang w:val="en-US" w:eastAsia="zh-CN"/>
        </w:rPr>
        <w:t xml:space="preserve">LBT category. </w:t>
      </w:r>
    </w:p>
    <w:p w14:paraId="06CCFA85" w14:textId="356D16EE" w:rsidR="00063E16" w:rsidRPr="00063E16" w:rsidRDefault="00462071" w:rsidP="00462071">
      <w:pPr>
        <w:rPr>
          <w:rFonts w:cs="Arial"/>
          <w:color w:val="000000"/>
        </w:rPr>
      </w:pPr>
      <w:r>
        <w:rPr>
          <w:lang w:val="en-US" w:eastAsia="zh-CN"/>
        </w:rPr>
        <w:t xml:space="preserve">This will impact </w:t>
      </w:r>
      <w:r>
        <w:rPr>
          <w:rFonts w:hint="eastAsia"/>
          <w:lang w:val="en-US" w:eastAsia="zh-CN"/>
        </w:rPr>
        <w:t xml:space="preserve">the format of RAR MAC PDU. In this contribution, we will mainly discuss how to include </w:t>
      </w:r>
      <w:r>
        <w:rPr>
          <w:lang w:val="en-US" w:eastAsia="zh-CN"/>
        </w:rPr>
        <w:t>this</w:t>
      </w:r>
      <w:r>
        <w:rPr>
          <w:rFonts w:hint="eastAsia"/>
          <w:lang w:val="en-US" w:eastAsia="zh-CN"/>
        </w:rPr>
        <w:t xml:space="preserve"> information in the </w:t>
      </w:r>
      <w:proofErr w:type="gramStart"/>
      <w:r>
        <w:rPr>
          <w:rFonts w:hint="eastAsia"/>
          <w:lang w:val="en-US" w:eastAsia="zh-CN"/>
        </w:rPr>
        <w:t>RAR MAC PDU, and</w:t>
      </w:r>
      <w:proofErr w:type="gramEnd"/>
      <w:r>
        <w:rPr>
          <w:rFonts w:hint="eastAsia"/>
          <w:lang w:val="en-US" w:eastAsia="zh-CN"/>
        </w:rPr>
        <w:t xml:space="preserve"> provide our views.</w:t>
      </w:r>
      <w:r>
        <w:rPr>
          <w:lang w:val="en-US" w:eastAsia="zh-CN"/>
        </w:rPr>
        <w:t xml:space="preserve"> We also discuss the aspects related to 2-step RACH and how a common design for both 4-step and 2-step RACH can be achieved</w:t>
      </w:r>
      <w:r w:rsidR="00063E16">
        <w:rPr>
          <w:rFonts w:cs="Arial"/>
          <w:color w:val="000000"/>
        </w:rPr>
        <w:t xml:space="preserve">. </w:t>
      </w:r>
    </w:p>
    <w:p w14:paraId="6C0AEAF1" w14:textId="61E6CABA" w:rsidR="001841BA" w:rsidRDefault="00473B6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473B6A">
        <w:rPr>
          <w:rFonts w:cs="Arial"/>
          <w:b w:val="0"/>
          <w:bCs w:val="0"/>
          <w:kern w:val="0"/>
          <w:sz w:val="32"/>
          <w:szCs w:val="36"/>
        </w:rPr>
        <w:t>Max RAR window size</w:t>
      </w:r>
    </w:p>
    <w:p w14:paraId="42876FB0" w14:textId="77777777" w:rsidR="00473B6A" w:rsidRDefault="00473B6A" w:rsidP="00473B6A">
      <w:pPr>
        <w:pStyle w:val="BodyText"/>
        <w:jc w:val="both"/>
        <w:rPr>
          <w:lang w:val="en-US" w:eastAsia="zh-CN"/>
        </w:rPr>
      </w:pPr>
      <w:r>
        <w:rPr>
          <w:rFonts w:hint="eastAsia"/>
          <w:lang w:val="en-US" w:eastAsia="zh-CN"/>
        </w:rPr>
        <w:t>According to the last agreement, the maximum RAR window size will be extended.</w:t>
      </w:r>
      <w:r>
        <w:rPr>
          <w:lang w:val="en-US" w:eastAsia="zh-CN"/>
        </w:rPr>
        <w:t xml:space="preserve"> </w:t>
      </w:r>
      <w:r>
        <w:rPr>
          <w:rFonts w:eastAsia="SimSun"/>
          <w:lang w:val="en-US" w:eastAsia="zh-CN"/>
        </w:rPr>
        <w:t xml:space="preserve">we think the RAR window size of around 40 </w:t>
      </w:r>
      <w:proofErr w:type="spellStart"/>
      <w:r>
        <w:rPr>
          <w:rFonts w:eastAsia="SimSun"/>
          <w:lang w:val="en-US" w:eastAsia="zh-CN"/>
        </w:rPr>
        <w:t>ms</w:t>
      </w:r>
      <w:proofErr w:type="spellEnd"/>
      <w:r>
        <w:rPr>
          <w:rFonts w:eastAsia="SimSun"/>
          <w:lang w:val="en-US" w:eastAsia="zh-CN"/>
        </w:rPr>
        <w:t xml:space="preserve"> is necessary.</w:t>
      </w:r>
      <w:r>
        <w:rPr>
          <w:lang w:val="en-US" w:eastAsia="zh-CN"/>
        </w:rPr>
        <w:t xml:space="preserve"> Given that 40 </w:t>
      </w:r>
      <w:proofErr w:type="spellStart"/>
      <w:r>
        <w:rPr>
          <w:lang w:val="en-US" w:eastAsia="zh-CN"/>
        </w:rPr>
        <w:t>ms</w:t>
      </w:r>
      <w:proofErr w:type="spellEnd"/>
      <w:r>
        <w:rPr>
          <w:lang w:val="en-US" w:eastAsia="zh-CN"/>
        </w:rPr>
        <w:t xml:space="preserve"> constitutes 4xMCOT of 10ms, the </w:t>
      </w:r>
      <w:proofErr w:type="spellStart"/>
      <w:r>
        <w:rPr>
          <w:lang w:val="en-US" w:eastAsia="zh-CN"/>
        </w:rPr>
        <w:t>gNB</w:t>
      </w:r>
      <w:proofErr w:type="spellEnd"/>
      <w:r>
        <w:rPr>
          <w:lang w:val="en-US" w:eastAsia="zh-CN"/>
        </w:rPr>
        <w:t xml:space="preserve"> will have enough opportunity to send RAR if we go for 40 </w:t>
      </w:r>
      <w:proofErr w:type="spellStart"/>
      <w:r>
        <w:rPr>
          <w:lang w:val="en-US" w:eastAsia="zh-CN"/>
        </w:rPr>
        <w:t>ms</w:t>
      </w:r>
      <w:proofErr w:type="spellEnd"/>
      <w:r>
        <w:rPr>
          <w:lang w:val="en-US" w:eastAsia="zh-CN"/>
        </w:rPr>
        <w:t xml:space="preserve"> (i.e. up to 3 other nodes can acquire the channel before the </w:t>
      </w:r>
      <w:proofErr w:type="spellStart"/>
      <w:r>
        <w:rPr>
          <w:lang w:val="en-US" w:eastAsia="zh-CN"/>
        </w:rPr>
        <w:t>gNB</w:t>
      </w:r>
      <w:proofErr w:type="spellEnd"/>
      <w:r>
        <w:rPr>
          <w:lang w:val="en-US" w:eastAsia="zh-CN"/>
        </w:rPr>
        <w:t xml:space="preserve"> and still the RACH procedure can succeed). </w:t>
      </w:r>
      <w:bookmarkStart w:id="7" w:name="OLE_LINK10"/>
      <w:r>
        <w:rPr>
          <w:lang w:val="en-US" w:eastAsia="zh-CN"/>
        </w:rPr>
        <w:t>Note that</w:t>
      </w:r>
      <w:bookmarkEnd w:id="7"/>
      <w:r>
        <w:rPr>
          <w:lang w:val="en-US" w:eastAsia="zh-CN"/>
        </w:rPr>
        <w:t xml:space="preserve"> the current assumption to use only 20 </w:t>
      </w:r>
      <w:proofErr w:type="spellStart"/>
      <w:r>
        <w:rPr>
          <w:lang w:val="en-US" w:eastAsia="zh-CN"/>
        </w:rPr>
        <w:t>ms</w:t>
      </w:r>
      <w:proofErr w:type="spellEnd"/>
      <w:r>
        <w:rPr>
          <w:lang w:val="en-US" w:eastAsia="zh-CN"/>
        </w:rPr>
        <w:t xml:space="preserve"> as the extended RAR window is too short since it only allows up to 2 other nodes to acquire the channel before the </w:t>
      </w:r>
      <w:proofErr w:type="spellStart"/>
      <w:r>
        <w:rPr>
          <w:lang w:val="en-US" w:eastAsia="zh-CN"/>
        </w:rPr>
        <w:t>gNB</w:t>
      </w:r>
      <w:proofErr w:type="spellEnd"/>
      <w:r>
        <w:rPr>
          <w:lang w:val="en-US" w:eastAsia="zh-CN"/>
        </w:rPr>
        <w:t xml:space="preserve"> acquires it. On a loaded channel, this may be insufficient and may increase the RACH failure rate. So, allowing at least </w:t>
      </w:r>
      <w:r>
        <w:rPr>
          <w:lang w:val="en-US" w:eastAsia="zh-CN"/>
        </w:rPr>
        <w:lastRenderedPageBreak/>
        <w:t xml:space="preserve">up to 40 </w:t>
      </w:r>
      <w:proofErr w:type="spellStart"/>
      <w:r>
        <w:rPr>
          <w:lang w:val="en-US" w:eastAsia="zh-CN"/>
        </w:rPr>
        <w:t>ms</w:t>
      </w:r>
      <w:proofErr w:type="spellEnd"/>
      <w:r>
        <w:rPr>
          <w:lang w:val="en-US" w:eastAsia="zh-CN"/>
        </w:rPr>
        <w:t xml:space="preserve"> provides a good tradeoff between latency and the channel access success probability in a loaded channel. </w:t>
      </w:r>
    </w:p>
    <w:p w14:paraId="60D4782B" w14:textId="77777777" w:rsidR="00473B6A" w:rsidRDefault="00473B6A" w:rsidP="00473B6A">
      <w:pPr>
        <w:pStyle w:val="BodyText"/>
        <w:jc w:val="both"/>
        <w:rPr>
          <w:lang w:val="en-US" w:eastAsia="zh-CN"/>
        </w:rPr>
      </w:pPr>
      <w:r>
        <w:rPr>
          <w:lang w:val="en-US" w:eastAsia="zh-CN"/>
        </w:rPr>
        <w:t xml:space="preserve">If the value of </w:t>
      </w:r>
      <w:r>
        <w:rPr>
          <w:rFonts w:eastAsia="SimSun"/>
          <w:lang w:val="en-US" w:eastAsia="zh-CN"/>
        </w:rPr>
        <w:t>40</w:t>
      </w:r>
      <w:r>
        <w:rPr>
          <w:lang w:val="en-US" w:eastAsia="zh-CN"/>
        </w:rPr>
        <w:t xml:space="preserve">ms is used, the maximum RAR window size is up to </w:t>
      </w:r>
      <w:r>
        <w:rPr>
          <w:rFonts w:eastAsia="SimSun"/>
          <w:lang w:val="en-US" w:eastAsia="zh-CN"/>
        </w:rPr>
        <w:t>40</w:t>
      </w:r>
      <w:r>
        <w:rPr>
          <w:lang w:val="en-US" w:eastAsia="zh-CN"/>
        </w:rPr>
        <w:t xml:space="preserve"> slots in case of RAR numerology of 15</w:t>
      </w:r>
      <w:r>
        <w:rPr>
          <w:rFonts w:eastAsia="SimSun"/>
          <w:lang w:val="en-US" w:eastAsia="zh-CN"/>
        </w:rPr>
        <w:t xml:space="preserve"> </w:t>
      </w:r>
      <w:r>
        <w:rPr>
          <w:lang w:val="en-US" w:eastAsia="zh-CN"/>
        </w:rPr>
        <w:t>kHz.</w:t>
      </w:r>
      <w:r>
        <w:rPr>
          <w:rFonts w:eastAsia="SimSun"/>
          <w:lang w:val="en-US" w:eastAsia="zh-CN"/>
        </w:rPr>
        <w:t xml:space="preserve"> For 30, 60, 120 kHz, </w:t>
      </w:r>
      <w:r>
        <w:rPr>
          <w:rFonts w:eastAsia="SimSun" w:hint="eastAsia"/>
          <w:lang w:val="en-US" w:eastAsia="zh-CN"/>
        </w:rPr>
        <w:t>8</w:t>
      </w:r>
      <w:r>
        <w:rPr>
          <w:rFonts w:eastAsia="SimSun"/>
          <w:lang w:val="en-US" w:eastAsia="zh-CN"/>
        </w:rPr>
        <w:t xml:space="preserve">0, </w:t>
      </w:r>
      <w:r>
        <w:rPr>
          <w:rFonts w:eastAsia="SimSun" w:hint="eastAsia"/>
          <w:lang w:val="en-US" w:eastAsia="zh-CN"/>
        </w:rPr>
        <w:t>16</w:t>
      </w:r>
      <w:r>
        <w:rPr>
          <w:rFonts w:eastAsia="SimSun"/>
          <w:lang w:val="en-US" w:eastAsia="zh-CN"/>
        </w:rPr>
        <w:t xml:space="preserve">0, </w:t>
      </w:r>
      <w:r>
        <w:rPr>
          <w:rFonts w:eastAsia="SimSun" w:hint="eastAsia"/>
          <w:lang w:val="en-US" w:eastAsia="zh-CN"/>
        </w:rPr>
        <w:t>32</w:t>
      </w:r>
      <w:r>
        <w:rPr>
          <w:rFonts w:eastAsia="SimSun"/>
          <w:lang w:val="en-US" w:eastAsia="zh-CN"/>
        </w:rPr>
        <w:t xml:space="preserve">0 slots need to be included in the configuration of RAR window. </w:t>
      </w:r>
      <w:r>
        <w:rPr>
          <w:rFonts w:eastAsia="SimSun" w:hint="eastAsia"/>
          <w:lang w:val="en-US" w:eastAsia="zh-CN"/>
        </w:rPr>
        <w:t xml:space="preserve">In addition, RAR window size of 20ms and 30ms should also be included. For RAR window size of 20ms, 20, 40, 80, 160 slots are needed. For RAR window size of 30ms, 30, 60, 120, 240 slots are needed. </w:t>
      </w:r>
      <w:r>
        <w:rPr>
          <w:lang w:val="en-US" w:eastAsia="zh-CN"/>
        </w:rPr>
        <w:t>In NR, RAR window size configurations of {1,</w:t>
      </w:r>
      <w:r>
        <w:rPr>
          <w:rFonts w:eastAsia="SimSun"/>
          <w:lang w:val="en-US" w:eastAsia="zh-CN"/>
        </w:rPr>
        <w:t xml:space="preserve"> </w:t>
      </w:r>
      <w:r>
        <w:rPr>
          <w:lang w:val="en-US" w:eastAsia="zh-CN"/>
        </w:rPr>
        <w:t>2,</w:t>
      </w:r>
      <w:r>
        <w:rPr>
          <w:rFonts w:eastAsia="SimSun"/>
          <w:lang w:val="en-US" w:eastAsia="zh-CN"/>
        </w:rPr>
        <w:t xml:space="preserve"> </w:t>
      </w:r>
      <w:r>
        <w:rPr>
          <w:lang w:val="en-US" w:eastAsia="zh-CN"/>
        </w:rPr>
        <w:t>4,</w:t>
      </w:r>
      <w:r>
        <w:rPr>
          <w:rFonts w:eastAsia="SimSun"/>
          <w:lang w:val="en-US" w:eastAsia="zh-CN"/>
        </w:rPr>
        <w:t xml:space="preserve"> </w:t>
      </w:r>
      <w:r>
        <w:rPr>
          <w:lang w:val="en-US" w:eastAsia="zh-CN"/>
        </w:rPr>
        <w:t>8,</w:t>
      </w:r>
      <w:r>
        <w:rPr>
          <w:rFonts w:eastAsia="SimSun"/>
          <w:lang w:val="en-US" w:eastAsia="zh-CN"/>
        </w:rPr>
        <w:t xml:space="preserve"> </w:t>
      </w:r>
      <w:r>
        <w:rPr>
          <w:lang w:val="en-US" w:eastAsia="zh-CN"/>
        </w:rPr>
        <w:t>10,</w:t>
      </w:r>
      <w:r>
        <w:rPr>
          <w:rFonts w:eastAsia="SimSun"/>
          <w:lang w:val="en-US" w:eastAsia="zh-CN"/>
        </w:rPr>
        <w:t xml:space="preserve"> </w:t>
      </w:r>
      <w:r>
        <w:rPr>
          <w:lang w:val="en-US" w:eastAsia="zh-CN"/>
        </w:rPr>
        <w:t>20,</w:t>
      </w:r>
      <w:r>
        <w:rPr>
          <w:rFonts w:eastAsia="SimSun"/>
          <w:lang w:val="en-US" w:eastAsia="zh-CN"/>
        </w:rPr>
        <w:t xml:space="preserve"> </w:t>
      </w:r>
      <w:r>
        <w:rPr>
          <w:lang w:val="en-US" w:eastAsia="zh-CN"/>
        </w:rPr>
        <w:t>40,</w:t>
      </w:r>
      <w:r>
        <w:rPr>
          <w:rFonts w:eastAsia="SimSun"/>
          <w:lang w:val="en-US" w:eastAsia="zh-CN"/>
        </w:rPr>
        <w:t xml:space="preserve"> </w:t>
      </w:r>
      <w:r>
        <w:rPr>
          <w:lang w:val="en-US" w:eastAsia="zh-CN"/>
        </w:rPr>
        <w:t xml:space="preserve">80} is supported. For NR-U, except for these values, </w:t>
      </w:r>
      <w:r>
        <w:rPr>
          <w:rFonts w:hint="eastAsia"/>
          <w:lang w:val="en-US" w:eastAsia="zh-CN"/>
        </w:rPr>
        <w:t>30, 60, 120 160 240 320 slots may also be needed. Hence,</w:t>
      </w:r>
      <w:r>
        <w:rPr>
          <w:lang w:val="en-US" w:eastAsia="zh-CN"/>
        </w:rPr>
        <w:t xml:space="preserve"> when RAR window size is extended to </w:t>
      </w:r>
      <w:r>
        <w:rPr>
          <w:rFonts w:eastAsia="SimSun" w:hint="eastAsia"/>
          <w:lang w:val="en-US" w:eastAsia="zh-CN"/>
        </w:rPr>
        <w:t>4</w:t>
      </w:r>
      <w:r>
        <w:rPr>
          <w:rFonts w:eastAsia="SimSun"/>
          <w:lang w:val="en-US" w:eastAsia="zh-CN"/>
        </w:rPr>
        <w:t>0</w:t>
      </w:r>
      <w:r>
        <w:rPr>
          <w:lang w:val="en-US" w:eastAsia="zh-CN"/>
        </w:rPr>
        <w:t xml:space="preserve">ms, RAR window size configuration will be </w:t>
      </w:r>
      <w:bookmarkStart w:id="8" w:name="OLE_LINK14"/>
      <w:r>
        <w:rPr>
          <w:lang w:val="en-US" w:eastAsia="zh-CN"/>
        </w:rPr>
        <w:t>{1,</w:t>
      </w:r>
      <w:r>
        <w:rPr>
          <w:rFonts w:eastAsia="SimSun"/>
          <w:lang w:val="en-US" w:eastAsia="zh-CN"/>
        </w:rPr>
        <w:t xml:space="preserve"> </w:t>
      </w:r>
      <w:r>
        <w:rPr>
          <w:lang w:val="en-US" w:eastAsia="zh-CN"/>
        </w:rPr>
        <w:t>2,</w:t>
      </w:r>
      <w:r>
        <w:rPr>
          <w:rFonts w:eastAsia="SimSun"/>
          <w:lang w:val="en-US" w:eastAsia="zh-CN"/>
        </w:rPr>
        <w:t xml:space="preserve"> </w:t>
      </w:r>
      <w:r>
        <w:rPr>
          <w:lang w:val="en-US" w:eastAsia="zh-CN"/>
        </w:rPr>
        <w:t>4,</w:t>
      </w:r>
      <w:r>
        <w:rPr>
          <w:rFonts w:eastAsia="SimSun"/>
          <w:lang w:val="en-US" w:eastAsia="zh-CN"/>
        </w:rPr>
        <w:t xml:space="preserve"> </w:t>
      </w:r>
      <w:r>
        <w:rPr>
          <w:lang w:val="en-US" w:eastAsia="zh-CN"/>
        </w:rPr>
        <w:t>8,</w:t>
      </w:r>
      <w:r>
        <w:rPr>
          <w:rFonts w:eastAsia="SimSun"/>
          <w:lang w:val="en-US" w:eastAsia="zh-CN"/>
        </w:rPr>
        <w:t xml:space="preserve"> </w:t>
      </w:r>
      <w:r>
        <w:rPr>
          <w:lang w:val="en-US" w:eastAsia="zh-CN"/>
        </w:rPr>
        <w:t>10,</w:t>
      </w:r>
      <w:r>
        <w:rPr>
          <w:rFonts w:eastAsia="SimSun"/>
          <w:lang w:val="en-US" w:eastAsia="zh-CN"/>
        </w:rPr>
        <w:t xml:space="preserve"> </w:t>
      </w:r>
      <w:r>
        <w:rPr>
          <w:lang w:val="en-US" w:eastAsia="zh-CN"/>
        </w:rPr>
        <w:t>20,</w:t>
      </w:r>
      <w:r>
        <w:rPr>
          <w:rFonts w:eastAsia="SimSun"/>
          <w:lang w:val="en-US" w:eastAsia="zh-CN"/>
        </w:rPr>
        <w:t xml:space="preserve"> </w:t>
      </w:r>
      <w:r>
        <w:rPr>
          <w:rFonts w:eastAsia="SimSun" w:hint="eastAsia"/>
          <w:lang w:val="en-US" w:eastAsia="zh-CN"/>
        </w:rPr>
        <w:t xml:space="preserve">30, </w:t>
      </w:r>
      <w:r>
        <w:rPr>
          <w:lang w:val="en-US" w:eastAsia="zh-CN"/>
        </w:rPr>
        <w:t>40,</w:t>
      </w:r>
      <w:r>
        <w:rPr>
          <w:rFonts w:eastAsia="SimSun"/>
          <w:lang w:val="en-US" w:eastAsia="zh-CN"/>
        </w:rPr>
        <w:t xml:space="preserve"> </w:t>
      </w:r>
      <w:r>
        <w:rPr>
          <w:rFonts w:eastAsia="SimSun" w:hint="eastAsia"/>
          <w:lang w:val="en-US" w:eastAsia="zh-CN"/>
        </w:rPr>
        <w:t xml:space="preserve">60, </w:t>
      </w:r>
      <w:r>
        <w:rPr>
          <w:lang w:val="en-US" w:eastAsia="zh-CN"/>
        </w:rPr>
        <w:t xml:space="preserve">80, </w:t>
      </w:r>
      <w:r>
        <w:rPr>
          <w:rFonts w:hint="eastAsia"/>
          <w:lang w:val="en-US" w:eastAsia="zh-CN"/>
        </w:rPr>
        <w:t xml:space="preserve">120, </w:t>
      </w:r>
      <w:r>
        <w:rPr>
          <w:lang w:val="en-US" w:eastAsia="zh-CN"/>
        </w:rPr>
        <w:t xml:space="preserve">160, </w:t>
      </w:r>
      <w:r>
        <w:rPr>
          <w:rFonts w:hint="eastAsia"/>
          <w:lang w:val="en-US" w:eastAsia="zh-CN"/>
        </w:rPr>
        <w:t xml:space="preserve">240, </w:t>
      </w:r>
      <w:r>
        <w:rPr>
          <w:lang w:val="en-US" w:eastAsia="zh-CN"/>
        </w:rPr>
        <w:t>320}</w:t>
      </w:r>
      <w:bookmarkEnd w:id="8"/>
      <w:r>
        <w:rPr>
          <w:lang w:val="en-US" w:eastAsia="zh-CN"/>
        </w:rPr>
        <w:t>.</w:t>
      </w:r>
    </w:p>
    <w:p w14:paraId="52130387" w14:textId="152D931C" w:rsidR="00473B6A" w:rsidRDefault="00473B6A" w:rsidP="00473B6A">
      <w:pPr>
        <w:pStyle w:val="3GPPProposal"/>
        <w:rPr>
          <w:bCs/>
          <w:lang w:val="en-US" w:eastAsia="zh-CN"/>
        </w:rPr>
      </w:pPr>
      <w:bookmarkStart w:id="9" w:name="OLE_LINK3"/>
      <w:bookmarkStart w:id="10" w:name="_Toc21000949"/>
      <w:bookmarkStart w:id="11" w:name="OLE_LINK13"/>
      <w:r>
        <w:rPr>
          <w:lang w:val="en-US" w:eastAsia="zh-CN"/>
        </w:rPr>
        <w:t>The maximum value of 40ms should be used for the extended RAR window.</w:t>
      </w:r>
      <w:bookmarkEnd w:id="9"/>
      <w:bookmarkEnd w:id="10"/>
    </w:p>
    <w:p w14:paraId="6308F580" w14:textId="6E026F36" w:rsidR="00387C45" w:rsidRPr="002039AE" w:rsidRDefault="00473B6A" w:rsidP="005660DC">
      <w:pPr>
        <w:pStyle w:val="3GPPProposal"/>
      </w:pPr>
      <w:bookmarkStart w:id="12" w:name="OLE_LINK15"/>
      <w:bookmarkStart w:id="13" w:name="_Toc21000950"/>
      <w:bookmarkEnd w:id="11"/>
      <w:r w:rsidRPr="00473B6A">
        <w:rPr>
          <w:rFonts w:hint="eastAsia"/>
          <w:lang w:val="en-US" w:eastAsia="zh-CN"/>
        </w:rPr>
        <w:t xml:space="preserve">If RAR window is extended to </w:t>
      </w:r>
      <w:r w:rsidRPr="00473B6A">
        <w:rPr>
          <w:lang w:val="en-US" w:eastAsia="zh-CN"/>
        </w:rPr>
        <w:t>4</w:t>
      </w:r>
      <w:r w:rsidRPr="00473B6A">
        <w:rPr>
          <w:rFonts w:hint="eastAsia"/>
          <w:lang w:val="en-US" w:eastAsia="zh-CN"/>
        </w:rPr>
        <w:t xml:space="preserve">0 </w:t>
      </w:r>
      <w:proofErr w:type="spellStart"/>
      <w:r w:rsidRPr="00473B6A">
        <w:rPr>
          <w:rFonts w:hint="eastAsia"/>
          <w:lang w:val="en-US" w:eastAsia="zh-CN"/>
        </w:rPr>
        <w:t>ms</w:t>
      </w:r>
      <w:proofErr w:type="spellEnd"/>
      <w:r w:rsidRPr="00473B6A">
        <w:rPr>
          <w:rFonts w:hint="eastAsia"/>
          <w:lang w:val="en-US" w:eastAsia="zh-CN"/>
        </w:rPr>
        <w:t>, the</w:t>
      </w:r>
      <w:r w:rsidRPr="00473B6A">
        <w:rPr>
          <w:lang w:val="en-US" w:eastAsia="zh-CN"/>
        </w:rPr>
        <w:t xml:space="preserve"> window size</w:t>
      </w:r>
      <w:r w:rsidRPr="00473B6A">
        <w:rPr>
          <w:rFonts w:hint="eastAsia"/>
          <w:lang w:val="en-US" w:eastAsia="zh-CN"/>
        </w:rPr>
        <w:t xml:space="preserve"> configuration of </w:t>
      </w:r>
      <w:r w:rsidRPr="00473B6A">
        <w:rPr>
          <w:lang w:val="en-US" w:eastAsia="zh-CN"/>
        </w:rPr>
        <w:t xml:space="preserve">{1, 2, 4, 8, 10, 20, </w:t>
      </w:r>
      <w:r w:rsidRPr="00473B6A">
        <w:rPr>
          <w:rFonts w:hint="eastAsia"/>
          <w:lang w:val="en-US" w:eastAsia="zh-CN"/>
        </w:rPr>
        <w:t xml:space="preserve">30, </w:t>
      </w:r>
      <w:r w:rsidRPr="00473B6A">
        <w:rPr>
          <w:lang w:val="en-US" w:eastAsia="zh-CN"/>
        </w:rPr>
        <w:t xml:space="preserve">40, </w:t>
      </w:r>
      <w:r w:rsidRPr="00473B6A">
        <w:rPr>
          <w:rFonts w:hint="eastAsia"/>
          <w:lang w:val="en-US" w:eastAsia="zh-CN"/>
        </w:rPr>
        <w:t xml:space="preserve">60, </w:t>
      </w:r>
      <w:r w:rsidRPr="00473B6A">
        <w:rPr>
          <w:lang w:val="en-US" w:eastAsia="zh-CN"/>
        </w:rPr>
        <w:t xml:space="preserve">80, </w:t>
      </w:r>
      <w:r w:rsidRPr="00473B6A">
        <w:rPr>
          <w:rFonts w:hint="eastAsia"/>
          <w:lang w:val="en-US" w:eastAsia="zh-CN"/>
        </w:rPr>
        <w:t xml:space="preserve">120, </w:t>
      </w:r>
      <w:r w:rsidRPr="00473B6A">
        <w:rPr>
          <w:lang w:val="en-US" w:eastAsia="zh-CN"/>
        </w:rPr>
        <w:t xml:space="preserve">160, </w:t>
      </w:r>
      <w:r w:rsidRPr="00473B6A">
        <w:rPr>
          <w:rFonts w:hint="eastAsia"/>
          <w:lang w:val="en-US" w:eastAsia="zh-CN"/>
        </w:rPr>
        <w:t xml:space="preserve">240, </w:t>
      </w:r>
      <w:r w:rsidRPr="00473B6A">
        <w:rPr>
          <w:lang w:val="en-US" w:eastAsia="zh-CN"/>
        </w:rPr>
        <w:t>320}</w:t>
      </w:r>
      <w:r w:rsidRPr="00473B6A">
        <w:rPr>
          <w:rFonts w:hint="eastAsia"/>
          <w:iCs/>
          <w:lang w:val="en-US" w:eastAsia="zh-CN"/>
        </w:rPr>
        <w:t xml:space="preserve"> may be used</w:t>
      </w:r>
      <w:r w:rsidRPr="00473B6A">
        <w:rPr>
          <w:iCs/>
          <w:lang w:val="en-US" w:eastAsia="zh-CN"/>
        </w:rPr>
        <w:t>.</w:t>
      </w:r>
      <w:bookmarkEnd w:id="12"/>
      <w:bookmarkEnd w:id="13"/>
    </w:p>
    <w:p w14:paraId="701B49F1" w14:textId="2BB7E77A" w:rsidR="002039AE" w:rsidRDefault="00473B6A" w:rsidP="00473B6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RAR MAC PDU design</w:t>
      </w:r>
    </w:p>
    <w:p w14:paraId="49380D75" w14:textId="0D5B8E05" w:rsidR="00473B6A" w:rsidRPr="00473B6A" w:rsidRDefault="00473B6A" w:rsidP="00473B6A">
      <w:r>
        <w:t xml:space="preserve">In this section the design of the RAR MAC PDU is considered separately for 2-step RACH and 4-step RACH case for NR-U. </w:t>
      </w:r>
    </w:p>
    <w:p w14:paraId="6BEC07C7" w14:textId="3851E48F" w:rsidR="00473B6A" w:rsidRDefault="00473B6A" w:rsidP="00473B6A">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Design for 4-step RACH</w:t>
      </w:r>
    </w:p>
    <w:p w14:paraId="15EEF467" w14:textId="77777777" w:rsidR="00D67BFD" w:rsidRPr="009A6F34" w:rsidRDefault="00D67BFD" w:rsidP="00D67BFD">
      <w:pPr>
        <w:rPr>
          <w:b/>
          <w:bCs/>
          <w:u w:val="single"/>
          <w:lang w:val="en-US" w:eastAsia="zh-CN"/>
        </w:rPr>
      </w:pPr>
      <w:r w:rsidRPr="009A6F34">
        <w:rPr>
          <w:b/>
          <w:bCs/>
          <w:u w:val="single"/>
          <w:lang w:val="en-US" w:eastAsia="zh-CN"/>
        </w:rPr>
        <w:t>LBT category indication</w:t>
      </w:r>
    </w:p>
    <w:p w14:paraId="13935F34" w14:textId="76FD76C9" w:rsidR="00FB7DB1" w:rsidRDefault="00D67BFD" w:rsidP="00D67BFD">
      <w:pPr>
        <w:rPr>
          <w:lang w:val="en-US" w:eastAsia="zh-CN"/>
        </w:rPr>
      </w:pPr>
      <w:r>
        <w:rPr>
          <w:lang w:val="en-US" w:eastAsia="zh-CN"/>
        </w:rPr>
        <w:t xml:space="preserve">In general, the </w:t>
      </w:r>
      <w:proofErr w:type="spellStart"/>
      <w:r>
        <w:rPr>
          <w:lang w:val="en-US" w:eastAsia="zh-CN"/>
        </w:rPr>
        <w:t>gNB</w:t>
      </w:r>
      <w:proofErr w:type="spellEnd"/>
      <w:r>
        <w:rPr>
          <w:lang w:val="en-US" w:eastAsia="zh-CN"/>
        </w:rPr>
        <w:t xml:space="preserve"> should decide the LBT </w:t>
      </w:r>
      <w:r w:rsidR="00FB7DB1">
        <w:rPr>
          <w:lang w:val="en-US" w:eastAsia="zh-CN"/>
        </w:rPr>
        <w:t>type</w:t>
      </w:r>
      <w:r>
        <w:rPr>
          <w:lang w:val="en-US" w:eastAsia="zh-CN"/>
        </w:rPr>
        <w:t xml:space="preserve"> </w:t>
      </w:r>
      <w:r w:rsidR="00FB7DB1">
        <w:rPr>
          <w:lang w:val="en-US" w:eastAsia="zh-CN"/>
        </w:rPr>
        <w:t xml:space="preserve">for UL </w:t>
      </w:r>
      <w:r>
        <w:rPr>
          <w:lang w:val="en-US" w:eastAsia="zh-CN"/>
        </w:rPr>
        <w:t xml:space="preserve">based on the </w:t>
      </w:r>
      <w:r w:rsidR="00FB7DB1">
        <w:rPr>
          <w:lang w:val="en-US" w:eastAsia="zh-CN"/>
        </w:rPr>
        <w:t xml:space="preserve">following: </w:t>
      </w:r>
    </w:p>
    <w:p w14:paraId="1824E949" w14:textId="534B3B6D" w:rsidR="00FB7DB1" w:rsidRDefault="00FB7DB1" w:rsidP="00FB7DB1">
      <w:pPr>
        <w:pStyle w:val="ListParagraph"/>
        <w:numPr>
          <w:ilvl w:val="0"/>
          <w:numId w:val="19"/>
        </w:numPr>
        <w:ind w:firstLineChars="0"/>
        <w:rPr>
          <w:lang w:val="en-US" w:eastAsia="zh-CN"/>
        </w:rPr>
      </w:pPr>
      <w:r w:rsidRPr="00FB7DB1">
        <w:rPr>
          <w:b/>
          <w:bCs/>
          <w:u w:val="single"/>
          <w:lang w:val="en-US" w:eastAsia="zh-CN"/>
        </w:rPr>
        <w:t>The LBT category used in DL which schedules the UL</w:t>
      </w:r>
      <w:r>
        <w:rPr>
          <w:lang w:val="en-US" w:eastAsia="zh-CN"/>
        </w:rPr>
        <w:t xml:space="preserve">: This is important because whether a 1-shot LBT or a CAT4 LBT needs to be performed in UL depends on the LBT type DL and the remaining COT duration in the DL COT etc. Hence, the UL LBT category is dependent on the DL LBT done by the </w:t>
      </w:r>
      <w:proofErr w:type="spellStart"/>
      <w:r>
        <w:rPr>
          <w:lang w:val="en-US" w:eastAsia="zh-CN"/>
        </w:rPr>
        <w:t>gNB</w:t>
      </w:r>
      <w:proofErr w:type="spellEnd"/>
      <w:r>
        <w:rPr>
          <w:lang w:val="en-US" w:eastAsia="zh-CN"/>
        </w:rPr>
        <w:t xml:space="preserve"> and the remaining COT etc. </w:t>
      </w:r>
    </w:p>
    <w:p w14:paraId="0B22C5C6" w14:textId="6AC6784F" w:rsidR="00D67BFD" w:rsidRDefault="00FB7DB1" w:rsidP="00FB7DB1">
      <w:pPr>
        <w:pStyle w:val="ListParagraph"/>
        <w:numPr>
          <w:ilvl w:val="0"/>
          <w:numId w:val="19"/>
        </w:numPr>
        <w:ind w:firstLineChars="0"/>
        <w:rPr>
          <w:lang w:val="en-US" w:eastAsia="zh-CN"/>
        </w:rPr>
      </w:pPr>
      <w:r>
        <w:rPr>
          <w:b/>
          <w:bCs/>
          <w:u w:val="single"/>
          <w:lang w:val="en-US" w:eastAsia="zh-CN"/>
        </w:rPr>
        <w:t>P</w:t>
      </w:r>
      <w:r w:rsidR="00D67BFD" w:rsidRPr="00FB7DB1">
        <w:rPr>
          <w:b/>
          <w:bCs/>
          <w:u w:val="single"/>
          <w:lang w:val="en-US" w:eastAsia="zh-CN"/>
        </w:rPr>
        <w:t>riority of the UL data</w:t>
      </w:r>
      <w:r>
        <w:rPr>
          <w:lang w:val="en-US" w:eastAsia="zh-CN"/>
        </w:rPr>
        <w:t xml:space="preserve">: In general, if the </w:t>
      </w:r>
      <w:proofErr w:type="spellStart"/>
      <w:r>
        <w:rPr>
          <w:lang w:val="en-US" w:eastAsia="zh-CN"/>
        </w:rPr>
        <w:t>gNB</w:t>
      </w:r>
      <w:proofErr w:type="spellEnd"/>
      <w:r>
        <w:rPr>
          <w:lang w:val="en-US" w:eastAsia="zh-CN"/>
        </w:rPr>
        <w:t xml:space="preserve"> is aware of the UL data in UE’s UL buffer, then the LBT type should take this into account. However, for initial access, the </w:t>
      </w:r>
      <w:proofErr w:type="spellStart"/>
      <w:r>
        <w:rPr>
          <w:lang w:val="en-US" w:eastAsia="zh-CN"/>
        </w:rPr>
        <w:t>gNB</w:t>
      </w:r>
      <w:proofErr w:type="spellEnd"/>
      <w:r>
        <w:rPr>
          <w:lang w:val="en-US" w:eastAsia="zh-CN"/>
        </w:rPr>
        <w:t xml:space="preserve"> only knows that the CCCH logical channel data is pending in UL. For connected mode</w:t>
      </w:r>
      <w:r w:rsidR="00371118">
        <w:rPr>
          <w:lang w:val="en-US" w:eastAsia="zh-CN"/>
        </w:rPr>
        <w:t xml:space="preserve"> also, it is unclear whether there are cases during RACH procedure where the </w:t>
      </w:r>
      <w:proofErr w:type="spellStart"/>
      <w:r w:rsidR="00371118">
        <w:rPr>
          <w:lang w:val="en-US" w:eastAsia="zh-CN"/>
        </w:rPr>
        <w:t>gNB</w:t>
      </w:r>
      <w:proofErr w:type="spellEnd"/>
      <w:r w:rsidR="00371118">
        <w:rPr>
          <w:lang w:val="en-US" w:eastAsia="zh-CN"/>
        </w:rPr>
        <w:t xml:space="preserve"> can have full knowledge of data in UL buffer since the BSR wouldn’t have been received at the </w:t>
      </w:r>
      <w:proofErr w:type="spellStart"/>
      <w:r w:rsidR="00371118">
        <w:rPr>
          <w:lang w:val="en-US" w:eastAsia="zh-CN"/>
        </w:rPr>
        <w:t>gNB</w:t>
      </w:r>
      <w:proofErr w:type="spellEnd"/>
      <w:r w:rsidR="00371118">
        <w:rPr>
          <w:lang w:val="en-US" w:eastAsia="zh-CN"/>
        </w:rPr>
        <w:t xml:space="preserve"> prior to the RACH procedure. Hence, it seems that it is not necessary to consider the type of UL data in UE buffer in designing the LBT type in UL. </w:t>
      </w:r>
    </w:p>
    <w:p w14:paraId="5B026BAE" w14:textId="232B0C9E" w:rsidR="00371118" w:rsidRPr="00371118" w:rsidRDefault="00371118" w:rsidP="00371118">
      <w:pPr>
        <w:rPr>
          <w:lang w:val="en-US" w:eastAsia="zh-CN"/>
        </w:rPr>
      </w:pPr>
      <w:r>
        <w:rPr>
          <w:lang w:val="en-US" w:eastAsia="zh-CN"/>
        </w:rPr>
        <w:t xml:space="preserve">Based on the above, we can conclude that the UL LBT type </w:t>
      </w:r>
      <w:r w:rsidR="00C0293E">
        <w:rPr>
          <w:lang w:val="en-US" w:eastAsia="zh-CN"/>
        </w:rPr>
        <w:t xml:space="preserve">indicated in MSG2 </w:t>
      </w:r>
      <w:r>
        <w:rPr>
          <w:lang w:val="en-US" w:eastAsia="zh-CN"/>
        </w:rPr>
        <w:t xml:space="preserve">is </w:t>
      </w:r>
      <w:r w:rsidR="00C0293E">
        <w:rPr>
          <w:lang w:val="en-US" w:eastAsia="zh-CN"/>
        </w:rPr>
        <w:t>only</w:t>
      </w:r>
      <w:r>
        <w:rPr>
          <w:lang w:val="en-US" w:eastAsia="zh-CN"/>
        </w:rPr>
        <w:t xml:space="preserve"> dependent on the DL LBT type at </w:t>
      </w:r>
      <w:proofErr w:type="spellStart"/>
      <w:r>
        <w:rPr>
          <w:lang w:val="en-US" w:eastAsia="zh-CN"/>
        </w:rPr>
        <w:t>gNB</w:t>
      </w:r>
      <w:proofErr w:type="spellEnd"/>
      <w:r>
        <w:rPr>
          <w:lang w:val="en-US" w:eastAsia="zh-CN"/>
        </w:rPr>
        <w:t xml:space="preserve"> and on the remaining COT in DL</w:t>
      </w:r>
      <w:r w:rsidR="00C0293E">
        <w:rPr>
          <w:lang w:val="en-US" w:eastAsia="zh-CN"/>
        </w:rPr>
        <w:t xml:space="preserve"> (but not the UL data in UE’s UL buffer)</w:t>
      </w:r>
      <w:r>
        <w:rPr>
          <w:lang w:val="en-US" w:eastAsia="zh-CN"/>
        </w:rPr>
        <w:t xml:space="preserve">. Given this, we think the LBT type can be per MSG2 i.e. it need not be per UE. Thus, it seems the LBT type can be included in the MSG2 header rather than the RAR. </w:t>
      </w:r>
    </w:p>
    <w:p w14:paraId="5009F2CD" w14:textId="084EFB1F" w:rsidR="00D67BFD" w:rsidRDefault="00371118" w:rsidP="00D67BFD">
      <w:pPr>
        <w:pStyle w:val="3GPPProposal"/>
        <w:rPr>
          <w:lang w:val="en-US" w:eastAsia="zh-CN"/>
        </w:rPr>
      </w:pPr>
      <w:bookmarkStart w:id="14" w:name="_Toc21000951"/>
      <w:r>
        <w:rPr>
          <w:lang w:val="en-US" w:eastAsia="zh-CN"/>
        </w:rPr>
        <w:lastRenderedPageBreak/>
        <w:t>The LBT type field is included in the MSG2 header (i.e. it is not UE specific)</w:t>
      </w:r>
      <w:bookmarkEnd w:id="14"/>
    </w:p>
    <w:p w14:paraId="4CB53994" w14:textId="29388996" w:rsidR="00371118" w:rsidRDefault="00371118" w:rsidP="00371118">
      <w:pPr>
        <w:rPr>
          <w:lang w:val="en-US" w:eastAsia="zh-CN"/>
        </w:rPr>
      </w:pPr>
      <w:r>
        <w:rPr>
          <w:lang w:val="en-US" w:eastAsia="zh-CN"/>
        </w:rPr>
        <w:t xml:space="preserve">One additional question is whether the CAPAC is also needed in addition to the LBT type, in case of CAT4 LBT indicated in MSG2 header per above. However, it should be noted that </w:t>
      </w:r>
      <w:proofErr w:type="spellStart"/>
      <w:r>
        <w:rPr>
          <w:lang w:val="en-US" w:eastAsia="zh-CN"/>
        </w:rPr>
        <w:t>gNB</w:t>
      </w:r>
      <w:proofErr w:type="spellEnd"/>
      <w:r>
        <w:rPr>
          <w:lang w:val="en-US" w:eastAsia="zh-CN"/>
        </w:rPr>
        <w:t xml:space="preserve"> can decide the CAPAC for UL data only if it has a full knowledge of the data in UL buffer at the UE. This is not feasible at initial access stage and hence, CAPAC is not needed to be included in MSG2. Instead, for CAT4 LBT case, we can assume that the CAPAC corresponding to CCCH logical channel will be used for MSG3. </w:t>
      </w:r>
    </w:p>
    <w:p w14:paraId="28B49351" w14:textId="4D20FEC1" w:rsidR="00D67BFD" w:rsidRPr="00C0293E" w:rsidRDefault="00371118" w:rsidP="00C0293E">
      <w:pPr>
        <w:pStyle w:val="3GPPProposal"/>
        <w:rPr>
          <w:lang w:val="en-US" w:eastAsia="zh-CN"/>
        </w:rPr>
      </w:pPr>
      <w:bookmarkStart w:id="15" w:name="_Toc21000952"/>
      <w:r>
        <w:rPr>
          <w:lang w:val="en-US" w:eastAsia="zh-CN"/>
        </w:rPr>
        <w:t>CAPAC is not included in MSG2 header, but in case of CAT4 LBT being indicated, the UE shall use the CAPAC corresponding to the CCCH logical channel.</w:t>
      </w:r>
      <w:bookmarkEnd w:id="15"/>
      <w:r>
        <w:rPr>
          <w:lang w:val="en-US" w:eastAsia="zh-CN"/>
        </w:rPr>
        <w:t xml:space="preserve"> </w:t>
      </w:r>
    </w:p>
    <w:p w14:paraId="678C27AE" w14:textId="77777777" w:rsidR="00C0293E" w:rsidRPr="009A6F34" w:rsidRDefault="00C0293E" w:rsidP="00C0293E">
      <w:pPr>
        <w:rPr>
          <w:b/>
          <w:bCs/>
          <w:u w:val="single"/>
          <w:lang w:val="en-US" w:eastAsia="zh-CN"/>
        </w:rPr>
      </w:pPr>
      <w:r w:rsidRPr="009A6F34">
        <w:rPr>
          <w:rFonts w:hint="eastAsia"/>
          <w:b/>
          <w:bCs/>
          <w:u w:val="single"/>
          <w:lang w:val="en-US" w:eastAsia="zh-CN"/>
        </w:rPr>
        <w:t>LSBs of SFN</w:t>
      </w:r>
    </w:p>
    <w:p w14:paraId="06DB34D4" w14:textId="44196B55" w:rsidR="00C0293E" w:rsidRDefault="00C0293E" w:rsidP="00C0293E">
      <w:pPr>
        <w:rPr>
          <w:lang w:val="en-US" w:eastAsia="zh-CN"/>
        </w:rPr>
      </w:pPr>
      <w:r>
        <w:rPr>
          <w:rFonts w:hint="eastAsia"/>
          <w:lang w:val="en-US" w:eastAsia="zh-CN"/>
        </w:rPr>
        <w:t>In NR</w:t>
      </w:r>
      <w:r>
        <w:rPr>
          <w:lang w:val="en-US" w:eastAsia="zh-CN"/>
        </w:rPr>
        <w:t>-U</w:t>
      </w:r>
      <w:r>
        <w:rPr>
          <w:rFonts w:hint="eastAsia"/>
          <w:lang w:val="en-US" w:eastAsia="zh-CN"/>
        </w:rPr>
        <w:t xml:space="preserve">, </w:t>
      </w:r>
      <w:r>
        <w:rPr>
          <w:lang w:val="en-US" w:eastAsia="zh-CN"/>
        </w:rPr>
        <w:t xml:space="preserve">the LSBs of the SFN of RACH will be included in MSG2.  </w:t>
      </w:r>
      <w:proofErr w:type="gramStart"/>
      <w:r>
        <w:rPr>
          <w:lang w:val="en-US" w:eastAsia="zh-CN"/>
        </w:rPr>
        <w:t>Similar to</w:t>
      </w:r>
      <w:proofErr w:type="gramEnd"/>
      <w:r>
        <w:rPr>
          <w:lang w:val="en-US" w:eastAsia="zh-CN"/>
        </w:rPr>
        <w:t xml:space="preserve"> above, the first question is whether this field indicating the LSBs of the SFN should be per UE or should it be per MSG2. In other words, can the MSG2 include RARs for UEs sending RACH in different SFNs or should they all have common SFN. There are two options to be considered as below: </w:t>
      </w:r>
    </w:p>
    <w:p w14:paraId="22864ABC" w14:textId="77777777" w:rsidR="00C0293E" w:rsidRDefault="00C0293E" w:rsidP="00C0293E">
      <w:pPr>
        <w:ind w:leftChars="100" w:left="210"/>
        <w:rPr>
          <w:lang w:val="en-US" w:eastAsia="zh-CN"/>
        </w:rPr>
      </w:pPr>
      <w:r>
        <w:rPr>
          <w:rFonts w:hint="eastAsia"/>
          <w:lang w:val="en-US" w:eastAsia="zh-CN"/>
        </w:rPr>
        <w:t xml:space="preserve">Option 1: RARs in the different SFN </w:t>
      </w:r>
      <w:r>
        <w:rPr>
          <w:lang w:val="en-US" w:eastAsia="zh-CN"/>
        </w:rPr>
        <w:t>can be</w:t>
      </w:r>
      <w:r>
        <w:rPr>
          <w:rFonts w:hint="eastAsia"/>
          <w:lang w:val="en-US" w:eastAsia="zh-CN"/>
        </w:rPr>
        <w:t xml:space="preserve"> multiplexed into one </w:t>
      </w:r>
      <w:r>
        <w:rPr>
          <w:lang w:val="en-US" w:eastAsia="zh-CN"/>
        </w:rPr>
        <w:t xml:space="preserve">MSG2 </w:t>
      </w:r>
      <w:r>
        <w:rPr>
          <w:rFonts w:hint="eastAsia"/>
          <w:lang w:val="en-US" w:eastAsia="zh-CN"/>
        </w:rPr>
        <w:t xml:space="preserve">MAC PDU </w:t>
      </w:r>
    </w:p>
    <w:p w14:paraId="14EDDE19" w14:textId="77777777" w:rsidR="00C0293E" w:rsidRDefault="00C0293E" w:rsidP="00C0293E">
      <w:pPr>
        <w:ind w:leftChars="100" w:left="210"/>
        <w:rPr>
          <w:lang w:val="en-US" w:eastAsia="zh-CN"/>
        </w:rPr>
      </w:pPr>
      <w:r>
        <w:rPr>
          <w:rFonts w:hint="eastAsia"/>
          <w:lang w:val="en-US" w:eastAsia="zh-CN"/>
        </w:rPr>
        <w:t xml:space="preserve">Option 2: </w:t>
      </w:r>
      <w:r>
        <w:rPr>
          <w:lang w:val="en-US" w:eastAsia="zh-CN"/>
        </w:rPr>
        <w:t xml:space="preserve">Only </w:t>
      </w:r>
      <w:r>
        <w:rPr>
          <w:rFonts w:hint="eastAsia"/>
          <w:lang w:val="en-US" w:eastAsia="zh-CN"/>
        </w:rPr>
        <w:t xml:space="preserve">RARs in the same SFN are multiplexed into one </w:t>
      </w:r>
      <w:r>
        <w:rPr>
          <w:lang w:val="en-US" w:eastAsia="zh-CN"/>
        </w:rPr>
        <w:t xml:space="preserve">MSG2 </w:t>
      </w:r>
      <w:r>
        <w:rPr>
          <w:rFonts w:hint="eastAsia"/>
          <w:lang w:val="en-US" w:eastAsia="zh-CN"/>
        </w:rPr>
        <w:t>MAC PDU</w:t>
      </w:r>
    </w:p>
    <w:p w14:paraId="046E29B8" w14:textId="77777777" w:rsidR="00C0293E" w:rsidRDefault="00C0293E" w:rsidP="00C0293E">
      <w:pPr>
        <w:rPr>
          <w:lang w:val="en-US" w:eastAsia="zh-CN"/>
        </w:rPr>
      </w:pPr>
      <w:r>
        <w:rPr>
          <w:lang w:val="en-US" w:eastAsia="zh-CN"/>
        </w:rPr>
        <w:t xml:space="preserve">Option 1 gives more flexibility for the </w:t>
      </w:r>
      <w:proofErr w:type="spellStart"/>
      <w:r>
        <w:rPr>
          <w:lang w:val="en-US" w:eastAsia="zh-CN"/>
        </w:rPr>
        <w:t>gNB</w:t>
      </w:r>
      <w:proofErr w:type="spellEnd"/>
      <w:r>
        <w:rPr>
          <w:lang w:val="en-US" w:eastAsia="zh-CN"/>
        </w:rPr>
        <w:t xml:space="preserve"> to multiplex different UEs within the same MAC PDU. However, this also comes with additional overhead because the LSBs of the SFN needs to be included in the MAC RAR (i.e. it is per UE rather than per MSG2). On the other hand, option 2 will result in less overhead (i.e. we just need one </w:t>
      </w:r>
      <w:proofErr w:type="spellStart"/>
      <w:r>
        <w:rPr>
          <w:lang w:val="en-US" w:eastAsia="zh-CN"/>
        </w:rPr>
        <w:t>subheader</w:t>
      </w:r>
      <w:proofErr w:type="spellEnd"/>
      <w:r>
        <w:rPr>
          <w:lang w:val="en-US" w:eastAsia="zh-CN"/>
        </w:rPr>
        <w:t xml:space="preserve"> containing the LSBs of SFN per MSG2), but this restricts the scheduling flexibility for the </w:t>
      </w:r>
      <w:proofErr w:type="spellStart"/>
      <w:r>
        <w:rPr>
          <w:lang w:val="en-US" w:eastAsia="zh-CN"/>
        </w:rPr>
        <w:t>gNB</w:t>
      </w:r>
      <w:proofErr w:type="spellEnd"/>
      <w:r>
        <w:rPr>
          <w:lang w:val="en-US" w:eastAsia="zh-CN"/>
        </w:rPr>
        <w:t xml:space="preserve"> (in that only certain UEs – sending the RACH in the same SFN – can be multiplexed in MSG2). </w:t>
      </w:r>
    </w:p>
    <w:p w14:paraId="11433A02" w14:textId="552F2FFF" w:rsidR="00C0293E" w:rsidRDefault="00C0293E" w:rsidP="00C0293E">
      <w:pPr>
        <w:rPr>
          <w:lang w:val="en-US" w:eastAsia="zh-CN"/>
        </w:rPr>
      </w:pPr>
      <w:r>
        <w:rPr>
          <w:lang w:val="en-US" w:eastAsia="zh-CN"/>
        </w:rPr>
        <w:t xml:space="preserve">Given that in any case, there are other fields that are likely to be included in MSG2 header (i.e. not per UE) – such as the LBT category </w:t>
      </w:r>
      <w:proofErr w:type="spellStart"/>
      <w:r>
        <w:rPr>
          <w:lang w:val="en-US" w:eastAsia="zh-CN"/>
        </w:rPr>
        <w:t>etc</w:t>
      </w:r>
      <w:proofErr w:type="spellEnd"/>
      <w:r>
        <w:rPr>
          <w:lang w:val="en-US" w:eastAsia="zh-CN"/>
        </w:rPr>
        <w:t xml:space="preserve"> – see above, we think we can also include this in the MSG2 header. This slightly restricts the multiplexing </w:t>
      </w:r>
      <w:proofErr w:type="gramStart"/>
      <w:r>
        <w:rPr>
          <w:lang w:val="en-US" w:eastAsia="zh-CN"/>
        </w:rPr>
        <w:t>flexibility, but</w:t>
      </w:r>
      <w:proofErr w:type="gramEnd"/>
      <w:r>
        <w:rPr>
          <w:lang w:val="en-US" w:eastAsia="zh-CN"/>
        </w:rPr>
        <w:t xml:space="preserve"> comes with reduced overhead. So, we think this tradeoff is justified.  </w:t>
      </w:r>
    </w:p>
    <w:p w14:paraId="31E4D0E6" w14:textId="360FCBD0" w:rsidR="00C0293E" w:rsidRPr="00C0293E" w:rsidRDefault="00C0293E" w:rsidP="005F7479">
      <w:pPr>
        <w:pStyle w:val="3GPPProposal"/>
        <w:rPr>
          <w:bCs/>
          <w:u w:val="single"/>
          <w:lang w:val="en-US" w:eastAsia="zh-CN"/>
        </w:rPr>
      </w:pPr>
      <w:bookmarkStart w:id="16" w:name="_Toc21000953"/>
      <w:r w:rsidRPr="00C0293E">
        <w:rPr>
          <w:lang w:val="en-US" w:eastAsia="zh-CN"/>
        </w:rPr>
        <w:t>The 2 LSBs of the SFN are also included in the MSG2 header (i.e. again</w:t>
      </w:r>
      <w:r w:rsidR="00836260">
        <w:rPr>
          <w:lang w:val="en-US" w:eastAsia="zh-CN"/>
        </w:rPr>
        <w:t xml:space="preserve"> this field is</w:t>
      </w:r>
      <w:r w:rsidRPr="00C0293E">
        <w:rPr>
          <w:lang w:val="en-US" w:eastAsia="zh-CN"/>
        </w:rPr>
        <w:t xml:space="preserve"> not UE specific)</w:t>
      </w:r>
      <w:bookmarkEnd w:id="16"/>
    </w:p>
    <w:p w14:paraId="32845308" w14:textId="05DA0F7A" w:rsidR="00D67BFD" w:rsidRPr="009A6F34" w:rsidRDefault="00D67BFD" w:rsidP="00D67BFD">
      <w:pPr>
        <w:rPr>
          <w:b/>
          <w:bCs/>
          <w:u w:val="single"/>
          <w:lang w:val="en-US" w:eastAsia="zh-CN"/>
        </w:rPr>
      </w:pPr>
      <w:r w:rsidRPr="009A6F34">
        <w:rPr>
          <w:b/>
          <w:bCs/>
          <w:u w:val="single"/>
          <w:lang w:val="en-US" w:eastAsia="zh-CN"/>
        </w:rPr>
        <w:t>Distinguishing between different RAR formats</w:t>
      </w:r>
    </w:p>
    <w:p w14:paraId="1972341F" w14:textId="66EF9419" w:rsidR="00D67BFD" w:rsidRDefault="00D67BFD" w:rsidP="00D67BFD">
      <w:pPr>
        <w:rPr>
          <w:lang w:val="en-US" w:eastAsia="zh-CN"/>
        </w:rPr>
      </w:pPr>
      <w:r>
        <w:rPr>
          <w:lang w:val="en-US" w:eastAsia="zh-CN"/>
        </w:rPr>
        <w:t xml:space="preserve">With the inclusion of the LBT category and the LSBs of SFN, the RAR format for NR-U will be different to the legacy RAR format. Of course, if the RAR is sent on NR-U carrier, then the UE doesn’t need to know which RAR format is used (i.e. on NR-U carrier, the new format will be </w:t>
      </w:r>
      <w:r w:rsidR="00836260">
        <w:rPr>
          <w:lang w:val="en-US" w:eastAsia="zh-CN"/>
        </w:rPr>
        <w:t>used</w:t>
      </w:r>
      <w:r>
        <w:rPr>
          <w:lang w:val="en-US" w:eastAsia="zh-CN"/>
        </w:rPr>
        <w:t xml:space="preserve"> by default). However, it should be noted that the RAR for NR-U carrier may need to be sent on the licensed carrier (e.g. in case of carrier aggregation where the </w:t>
      </w:r>
      <w:proofErr w:type="spellStart"/>
      <w:r>
        <w:rPr>
          <w:lang w:val="en-US" w:eastAsia="zh-CN"/>
        </w:rPr>
        <w:t>PCell</w:t>
      </w:r>
      <w:proofErr w:type="spellEnd"/>
      <w:r>
        <w:rPr>
          <w:lang w:val="en-US" w:eastAsia="zh-CN"/>
        </w:rPr>
        <w:t xml:space="preserve"> is in licensed spectrum and </w:t>
      </w:r>
      <w:proofErr w:type="spellStart"/>
      <w:r>
        <w:rPr>
          <w:lang w:val="en-US" w:eastAsia="zh-CN"/>
        </w:rPr>
        <w:t>SCell</w:t>
      </w:r>
      <w:proofErr w:type="spellEnd"/>
      <w:r>
        <w:rPr>
          <w:lang w:val="en-US" w:eastAsia="zh-CN"/>
        </w:rPr>
        <w:t xml:space="preserve"> is in unlicensed). </w:t>
      </w:r>
      <w:r w:rsidR="00836260">
        <w:rPr>
          <w:lang w:val="en-US" w:eastAsia="zh-CN"/>
        </w:rPr>
        <w:t>Although</w:t>
      </w:r>
      <w:r>
        <w:rPr>
          <w:lang w:val="en-US" w:eastAsia="zh-CN"/>
        </w:rPr>
        <w:t xml:space="preserve">, in this specific case, there is no need to signal the LSBs of SFN </w:t>
      </w:r>
      <w:r w:rsidR="00836260">
        <w:rPr>
          <w:lang w:val="en-US" w:eastAsia="zh-CN"/>
        </w:rPr>
        <w:t>(</w:t>
      </w:r>
      <w:r>
        <w:rPr>
          <w:lang w:val="en-US" w:eastAsia="zh-CN"/>
        </w:rPr>
        <w:t>because on licensed carrier in DL</w:t>
      </w:r>
      <w:r w:rsidR="00836260">
        <w:rPr>
          <w:lang w:val="en-US" w:eastAsia="zh-CN"/>
        </w:rPr>
        <w:t xml:space="preserve"> </w:t>
      </w:r>
      <w:r>
        <w:rPr>
          <w:lang w:val="en-US" w:eastAsia="zh-CN"/>
        </w:rPr>
        <w:t>there is no LBT issue to solve</w:t>
      </w:r>
      <w:r w:rsidR="00836260">
        <w:rPr>
          <w:lang w:val="en-US" w:eastAsia="zh-CN"/>
        </w:rPr>
        <w:t xml:space="preserve">) at least the LBT type field still needs to be included even in this case in MSG2 header. Thus, the MSG2 header format will still be different even in this case. To reduce the number of different combinations </w:t>
      </w:r>
      <w:r w:rsidR="00836260">
        <w:rPr>
          <w:lang w:val="en-US" w:eastAsia="zh-CN"/>
        </w:rPr>
        <w:lastRenderedPageBreak/>
        <w:t xml:space="preserve">of MSG2 format, we think it is worth defining one specific format for NR-U (both on licensed and unlicensed spectrum). So, considering this, we think the SFN field can be included even if the message is sent on licensed carrier. </w:t>
      </w:r>
    </w:p>
    <w:p w14:paraId="10117820" w14:textId="37D9F5E3" w:rsidR="00836260" w:rsidRDefault="00836260" w:rsidP="00D67BFD">
      <w:pPr>
        <w:rPr>
          <w:lang w:val="en-US" w:eastAsia="zh-CN"/>
        </w:rPr>
      </w:pPr>
      <w:r>
        <w:rPr>
          <w:lang w:val="en-US" w:eastAsia="zh-CN"/>
        </w:rPr>
        <w:t xml:space="preserve">Then, in order to distinguish between the legacy MSG2 and the new MSG2, we need to consider either a new RNTI or new search space /CORESET on the licensed carrier. To us it seems using a separate search space / CORESET seems simpler. So, we propose this: </w:t>
      </w:r>
    </w:p>
    <w:p w14:paraId="4D465769" w14:textId="12E0B47A" w:rsidR="00D67BFD" w:rsidRDefault="00DD19A8" w:rsidP="00D67BFD">
      <w:pPr>
        <w:pStyle w:val="3GPPProposal"/>
        <w:rPr>
          <w:lang w:val="en-US" w:eastAsia="zh-CN"/>
        </w:rPr>
      </w:pPr>
      <w:bookmarkStart w:id="17" w:name="_Toc21000954"/>
      <w:r>
        <w:rPr>
          <w:lang w:val="en-US" w:eastAsia="zh-CN"/>
        </w:rPr>
        <w:t xml:space="preserve">The same MSG2 format for NR-U will be reused on licensed carriers (when the response for RACH on NR-U carrier is sent on a licensed </w:t>
      </w:r>
      <w:proofErr w:type="spellStart"/>
      <w:r>
        <w:rPr>
          <w:lang w:val="en-US" w:eastAsia="zh-CN"/>
        </w:rPr>
        <w:t>PCell</w:t>
      </w:r>
      <w:proofErr w:type="spellEnd"/>
      <w:r>
        <w:rPr>
          <w:lang w:val="en-US" w:eastAsia="zh-CN"/>
        </w:rPr>
        <w:t>)</w:t>
      </w:r>
      <w:bookmarkEnd w:id="17"/>
    </w:p>
    <w:p w14:paraId="555E6085" w14:textId="1560DC9A" w:rsidR="00D67BFD" w:rsidRDefault="00DD19A8" w:rsidP="00D67BFD">
      <w:pPr>
        <w:pStyle w:val="3GPPProposal"/>
        <w:rPr>
          <w:lang w:val="en-US" w:eastAsia="zh-CN"/>
        </w:rPr>
      </w:pPr>
      <w:bookmarkStart w:id="18" w:name="_Toc21000955"/>
      <w:r>
        <w:rPr>
          <w:lang w:val="en-US" w:eastAsia="zh-CN"/>
        </w:rPr>
        <w:t>A different search space/CORESET will be used for NR-U MSG2 response on licensed spectrum for the above case</w:t>
      </w:r>
      <w:bookmarkEnd w:id="18"/>
    </w:p>
    <w:p w14:paraId="3FFBC5B4" w14:textId="0FE94407" w:rsidR="00DD19A8" w:rsidRDefault="00DD19A8" w:rsidP="00D67BFD">
      <w:pPr>
        <w:pStyle w:val="3GPPProposal"/>
        <w:rPr>
          <w:lang w:val="en-US" w:eastAsia="zh-CN"/>
        </w:rPr>
      </w:pPr>
      <w:bookmarkStart w:id="19" w:name="_Toc21000956"/>
      <w:r>
        <w:rPr>
          <w:lang w:val="en-US" w:eastAsia="zh-CN"/>
        </w:rPr>
        <w:t xml:space="preserve">Send </w:t>
      </w:r>
      <w:proofErr w:type="gramStart"/>
      <w:r>
        <w:rPr>
          <w:lang w:val="en-US" w:eastAsia="zh-CN"/>
        </w:rPr>
        <w:t>an</w:t>
      </w:r>
      <w:proofErr w:type="gramEnd"/>
      <w:r>
        <w:rPr>
          <w:lang w:val="en-US" w:eastAsia="zh-CN"/>
        </w:rPr>
        <w:t xml:space="preserve"> LS to RAN1 informing them about the above agreements</w:t>
      </w:r>
      <w:bookmarkEnd w:id="19"/>
    </w:p>
    <w:p w14:paraId="0E844F18" w14:textId="6043756C" w:rsidR="00D67BFD" w:rsidRDefault="00D67BFD" w:rsidP="00D67BFD">
      <w:pPr>
        <w:pStyle w:val="Heading1"/>
        <w:widowControl/>
        <w:numPr>
          <w:ilvl w:val="1"/>
          <w:numId w:val="3"/>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Design for 2-step RACH</w:t>
      </w:r>
    </w:p>
    <w:p w14:paraId="5C61ED7F" w14:textId="77777777" w:rsidR="00D67BFD" w:rsidRDefault="00D67BFD" w:rsidP="00D67BFD">
      <w:pPr>
        <w:rPr>
          <w:lang w:val="en-US" w:eastAsia="zh-CN"/>
        </w:rPr>
      </w:pPr>
      <w:r>
        <w:rPr>
          <w:lang w:val="en-US" w:eastAsia="zh-CN"/>
        </w:rPr>
        <w:t>In case of 2-step RACH, there are two scenarios that need to be considered:</w:t>
      </w:r>
    </w:p>
    <w:p w14:paraId="33E10744" w14:textId="77777777" w:rsidR="00D67BFD" w:rsidRDefault="00D67BFD" w:rsidP="00D67BFD">
      <w:pPr>
        <w:widowControl/>
        <w:numPr>
          <w:ilvl w:val="0"/>
          <w:numId w:val="18"/>
        </w:numPr>
        <w:spacing w:after="180" w:line="240" w:lineRule="auto"/>
        <w:rPr>
          <w:lang w:val="en-US" w:eastAsia="zh-CN"/>
        </w:rPr>
      </w:pPr>
      <w:r>
        <w:rPr>
          <w:lang w:val="en-US" w:eastAsia="zh-CN"/>
        </w:rPr>
        <w:t xml:space="preserve">Design of </w:t>
      </w:r>
      <w:proofErr w:type="spellStart"/>
      <w:r>
        <w:rPr>
          <w:lang w:val="en-US" w:eastAsia="zh-CN"/>
        </w:rPr>
        <w:t>fallbackRAR</w:t>
      </w:r>
      <w:proofErr w:type="spellEnd"/>
    </w:p>
    <w:p w14:paraId="5AE08548" w14:textId="77777777" w:rsidR="00D67BFD" w:rsidRDefault="00D67BFD" w:rsidP="00D67BFD">
      <w:pPr>
        <w:widowControl/>
        <w:numPr>
          <w:ilvl w:val="0"/>
          <w:numId w:val="18"/>
        </w:numPr>
        <w:spacing w:after="180" w:line="240" w:lineRule="auto"/>
        <w:rPr>
          <w:lang w:val="en-US" w:eastAsia="zh-CN"/>
        </w:rPr>
      </w:pPr>
      <w:r>
        <w:rPr>
          <w:lang w:val="en-US" w:eastAsia="zh-CN"/>
        </w:rPr>
        <w:t>Design of MSGB</w:t>
      </w:r>
    </w:p>
    <w:p w14:paraId="7266033B" w14:textId="794B55AD" w:rsidR="00D67BFD" w:rsidRDefault="00D67BFD" w:rsidP="00D67BFD">
      <w:pPr>
        <w:rPr>
          <w:lang w:val="en-US" w:eastAsia="zh-CN"/>
        </w:rPr>
      </w:pPr>
      <w:r>
        <w:rPr>
          <w:lang w:val="en-US" w:eastAsia="zh-CN"/>
        </w:rPr>
        <w:t xml:space="preserve">Firstly, it should be noted that the RA response for 2-step RACH will be designed in such a way that legacy UEs will not decode this (either using a new RNTI or using a separate coreset/search-space – see </w:t>
      </w:r>
      <w:r>
        <w:rPr>
          <w:lang w:val="en-US" w:eastAsia="zh-CN"/>
        </w:rPr>
        <w:fldChar w:fldCharType="begin"/>
      </w:r>
      <w:r>
        <w:rPr>
          <w:lang w:val="en-US" w:eastAsia="zh-CN"/>
        </w:rPr>
        <w:instrText xml:space="preserve"> REF _Ref20915086 \r \h </w:instrText>
      </w:r>
      <w:r>
        <w:rPr>
          <w:lang w:val="en-US" w:eastAsia="zh-CN"/>
        </w:rPr>
      </w:r>
      <w:r>
        <w:rPr>
          <w:lang w:val="en-US" w:eastAsia="zh-CN"/>
        </w:rPr>
        <w:fldChar w:fldCharType="separate"/>
      </w:r>
      <w:r w:rsidR="00FB7DB1">
        <w:rPr>
          <w:lang w:val="en-US" w:eastAsia="zh-CN"/>
        </w:rPr>
        <w:t>[4]</w:t>
      </w:r>
      <w:r>
        <w:rPr>
          <w:lang w:val="en-US" w:eastAsia="zh-CN"/>
        </w:rPr>
        <w:fldChar w:fldCharType="end"/>
      </w:r>
      <w:r>
        <w:rPr>
          <w:lang w:val="en-US" w:eastAsia="zh-CN"/>
        </w:rPr>
        <w:t xml:space="preserve">). Thus, there is no problem with legacy UEs decoding the RAR addressed to 2-step RACH UEs. Then, for the case of fallback, we can simply reuse the new MSG2 design </w:t>
      </w:r>
      <w:r w:rsidR="003D08AE">
        <w:rPr>
          <w:lang w:val="en-US" w:eastAsia="zh-CN"/>
        </w:rPr>
        <w:t xml:space="preserve">for NR-U </w:t>
      </w:r>
      <w:r>
        <w:rPr>
          <w:lang w:val="en-US" w:eastAsia="zh-CN"/>
        </w:rPr>
        <w:t xml:space="preserve">even with 2-step RACH. i.e. the same format as agreed in MSG2 design for 4-step RACH in case of NR-U will be reused also for 2-step RACH. </w:t>
      </w:r>
    </w:p>
    <w:p w14:paraId="4E96D3BC" w14:textId="133CE176" w:rsidR="00D67BFD" w:rsidRDefault="00D67BFD" w:rsidP="00D67BFD">
      <w:pPr>
        <w:rPr>
          <w:lang w:val="en-US" w:eastAsia="zh-CN"/>
        </w:rPr>
      </w:pPr>
      <w:r>
        <w:rPr>
          <w:lang w:val="en-US" w:eastAsia="zh-CN"/>
        </w:rPr>
        <w:t xml:space="preserve">Then, for the case of MSGB, we can introduce new field in the </w:t>
      </w:r>
      <w:r w:rsidR="003D08AE">
        <w:rPr>
          <w:lang w:val="en-US" w:eastAsia="zh-CN"/>
        </w:rPr>
        <w:t>MSGB header</w:t>
      </w:r>
      <w:r>
        <w:rPr>
          <w:lang w:val="en-US" w:eastAsia="zh-CN"/>
        </w:rPr>
        <w:t xml:space="preserve"> to signal the LSBs of SFN (</w:t>
      </w:r>
      <w:proofErr w:type="gramStart"/>
      <w:r>
        <w:rPr>
          <w:lang w:val="en-US" w:eastAsia="zh-CN"/>
        </w:rPr>
        <w:t>similar to</w:t>
      </w:r>
      <w:proofErr w:type="gramEnd"/>
      <w:r>
        <w:rPr>
          <w:lang w:val="en-US" w:eastAsia="zh-CN"/>
        </w:rPr>
        <w:t xml:space="preserve"> MSG2). Then, it should be noted that there is no MSG3 in case of 2-step RACH. So, there is no need to indicate the LBT category for MSG3 in MSGB (unlike the MSG2). </w:t>
      </w:r>
      <w:r w:rsidR="003D08AE">
        <w:rPr>
          <w:lang w:val="en-US" w:eastAsia="zh-CN"/>
        </w:rPr>
        <w:t xml:space="preserve">Note that in case of connected mode the LBT category for the subsequent UL message can be indicated via the DL DCI. Thus, no LBT type is needed even in this case. </w:t>
      </w:r>
      <w:r>
        <w:rPr>
          <w:lang w:val="en-US" w:eastAsia="zh-CN"/>
        </w:rPr>
        <w:t xml:space="preserve">Thus, the MSGB design doesn’t need to consider the indication of LBT category.  </w:t>
      </w:r>
    </w:p>
    <w:p w14:paraId="0B45C351" w14:textId="507AD798" w:rsidR="00D67BFD" w:rsidRDefault="00D67BFD" w:rsidP="00D67BFD">
      <w:pPr>
        <w:pStyle w:val="3GPPProposal"/>
        <w:rPr>
          <w:lang w:val="en-US" w:eastAsia="zh-CN"/>
        </w:rPr>
      </w:pPr>
      <w:bookmarkStart w:id="20" w:name="_Toc21000957"/>
      <w:r>
        <w:rPr>
          <w:lang w:val="en-US" w:eastAsia="zh-CN"/>
        </w:rPr>
        <w:t xml:space="preserve">The </w:t>
      </w:r>
      <w:proofErr w:type="spellStart"/>
      <w:r>
        <w:rPr>
          <w:lang w:val="en-US" w:eastAsia="zh-CN"/>
        </w:rPr>
        <w:t>fallbackRAR</w:t>
      </w:r>
      <w:proofErr w:type="spellEnd"/>
      <w:r>
        <w:rPr>
          <w:lang w:val="en-US" w:eastAsia="zh-CN"/>
        </w:rPr>
        <w:t xml:space="preserve"> design will reuse the format of MSG2 on licensed and unlicensed carriers per above</w:t>
      </w:r>
      <w:bookmarkEnd w:id="20"/>
    </w:p>
    <w:p w14:paraId="6E1384AA" w14:textId="0BEE3E1C" w:rsidR="00D67BFD" w:rsidRPr="00D67BFD" w:rsidRDefault="00D67BFD" w:rsidP="003C3B73">
      <w:pPr>
        <w:pStyle w:val="3GPPProposal"/>
      </w:pPr>
      <w:bookmarkStart w:id="21" w:name="_Toc21000958"/>
      <w:r w:rsidRPr="00D67BFD">
        <w:rPr>
          <w:lang w:val="en-US" w:eastAsia="zh-CN"/>
        </w:rPr>
        <w:t>The MSGB design will include a new field to include the LSBs of SFN of RACH slot. There is no need to include the LBT category in MSGB since there is no MSG3 in case of 2-step RACH.</w:t>
      </w:r>
      <w:bookmarkEnd w:id="21"/>
      <w:r w:rsidRPr="00D67BFD">
        <w:rPr>
          <w:lang w:val="en-US" w:eastAsia="zh-CN"/>
        </w:rPr>
        <w:t xml:space="preserve"> </w:t>
      </w:r>
    </w:p>
    <w:p w14:paraId="11F6C8DA" w14:textId="4FE3CDE2" w:rsidR="001841BA" w:rsidRDefault="0014057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7C18A720" w14:textId="739CDE4F" w:rsidR="006A008F" w:rsidRPr="00140571" w:rsidRDefault="00140571" w:rsidP="0040782D">
      <w:r w:rsidRPr="00140571">
        <w:t>The following proposals are made:</w:t>
      </w:r>
    </w:p>
    <w:p w14:paraId="4B15CFA2" w14:textId="269BD6AF" w:rsidR="003464C5" w:rsidRPr="003464C5" w:rsidRDefault="0040782D">
      <w:pPr>
        <w:pStyle w:val="TOC1"/>
        <w:tabs>
          <w:tab w:val="left" w:pos="1470"/>
        </w:tabs>
        <w:spacing w:before="78" w:after="78"/>
        <w:rPr>
          <w:rFonts w:asciiTheme="minorHAnsi" w:hAnsiTheme="minorHAnsi" w:cstheme="minorBidi"/>
          <w:b/>
          <w:bCs/>
          <w:noProof/>
          <w:kern w:val="0"/>
          <w:sz w:val="22"/>
          <w:szCs w:val="22"/>
        </w:rPr>
      </w:pPr>
      <w:r w:rsidRPr="003464C5">
        <w:fldChar w:fldCharType="begin"/>
      </w:r>
      <w:r w:rsidRPr="003464C5">
        <w:instrText xml:space="preserve"> TOC \n \h \z \t "3GPPProposal,1" </w:instrText>
      </w:r>
      <w:r w:rsidRPr="003464C5">
        <w:fldChar w:fldCharType="separate"/>
      </w:r>
      <w:hyperlink w:anchor="_Toc21000949" w:history="1">
        <w:r w:rsidR="003464C5" w:rsidRPr="003464C5">
          <w:rPr>
            <w:rStyle w:val="Hyperlink"/>
            <w:b/>
            <w:bCs/>
            <w:noProof/>
          </w:rPr>
          <w:t>Proposal 1:</w:t>
        </w:r>
        <w:r w:rsidR="003464C5" w:rsidRPr="003464C5">
          <w:rPr>
            <w:rFonts w:asciiTheme="minorHAnsi" w:hAnsiTheme="minorHAnsi" w:cstheme="minorBidi"/>
            <w:b/>
            <w:bCs/>
            <w:noProof/>
            <w:kern w:val="0"/>
            <w:sz w:val="22"/>
            <w:szCs w:val="22"/>
          </w:rPr>
          <w:tab/>
        </w:r>
        <w:r w:rsidR="003464C5" w:rsidRPr="003464C5">
          <w:rPr>
            <w:rStyle w:val="Hyperlink"/>
            <w:b/>
            <w:bCs/>
            <w:noProof/>
          </w:rPr>
          <w:t>The maximum value of 40ms should be used for the extended RAR window.</w:t>
        </w:r>
      </w:hyperlink>
    </w:p>
    <w:p w14:paraId="1ECB5903" w14:textId="4BC76933"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0" w:history="1">
        <w:r w:rsidR="003464C5" w:rsidRPr="003464C5">
          <w:rPr>
            <w:rStyle w:val="Hyperlink"/>
            <w:b/>
            <w:bCs/>
            <w:noProof/>
          </w:rPr>
          <w:t>Proposal 2:</w:t>
        </w:r>
        <w:r w:rsidR="003464C5" w:rsidRPr="003464C5">
          <w:rPr>
            <w:rFonts w:asciiTheme="minorHAnsi" w:hAnsiTheme="minorHAnsi" w:cstheme="minorBidi"/>
            <w:b/>
            <w:bCs/>
            <w:noProof/>
            <w:kern w:val="0"/>
            <w:sz w:val="22"/>
            <w:szCs w:val="22"/>
          </w:rPr>
          <w:tab/>
        </w:r>
        <w:r w:rsidR="003464C5" w:rsidRPr="003464C5">
          <w:rPr>
            <w:rStyle w:val="Hyperlink"/>
            <w:b/>
            <w:bCs/>
            <w:noProof/>
          </w:rPr>
          <w:t>If RAR window is extended to 40 ms, the window size configuration of {1, 2, 4, 8, 10, 20, 30, 40, 60, 80, 120, 160, 240, 320}</w:t>
        </w:r>
        <w:r w:rsidR="003464C5" w:rsidRPr="003464C5">
          <w:rPr>
            <w:rStyle w:val="Hyperlink"/>
            <w:b/>
            <w:bCs/>
            <w:iCs/>
            <w:noProof/>
          </w:rPr>
          <w:t xml:space="preserve"> may be used.</w:t>
        </w:r>
      </w:hyperlink>
    </w:p>
    <w:p w14:paraId="7A2295CA" w14:textId="0951B61A"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1" w:history="1">
        <w:r w:rsidR="003464C5" w:rsidRPr="003464C5">
          <w:rPr>
            <w:rStyle w:val="Hyperlink"/>
            <w:b/>
            <w:bCs/>
            <w:noProof/>
          </w:rPr>
          <w:t>Proposal 3:</w:t>
        </w:r>
        <w:r w:rsidR="003464C5" w:rsidRPr="003464C5">
          <w:rPr>
            <w:rFonts w:asciiTheme="minorHAnsi" w:hAnsiTheme="minorHAnsi" w:cstheme="minorBidi"/>
            <w:b/>
            <w:bCs/>
            <w:noProof/>
            <w:kern w:val="0"/>
            <w:sz w:val="22"/>
            <w:szCs w:val="22"/>
          </w:rPr>
          <w:tab/>
        </w:r>
        <w:r w:rsidR="003464C5" w:rsidRPr="003464C5">
          <w:rPr>
            <w:rStyle w:val="Hyperlink"/>
            <w:b/>
            <w:bCs/>
            <w:noProof/>
          </w:rPr>
          <w:t>The LBT type field is included in the MSG2 header (i.e. it is not UE specific)</w:t>
        </w:r>
      </w:hyperlink>
    </w:p>
    <w:p w14:paraId="1BD94E16" w14:textId="572A77F0"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2" w:history="1">
        <w:r w:rsidR="003464C5" w:rsidRPr="003464C5">
          <w:rPr>
            <w:rStyle w:val="Hyperlink"/>
            <w:b/>
            <w:bCs/>
            <w:noProof/>
          </w:rPr>
          <w:t>Proposal 4:</w:t>
        </w:r>
        <w:r w:rsidR="003464C5" w:rsidRPr="003464C5">
          <w:rPr>
            <w:rFonts w:asciiTheme="minorHAnsi" w:hAnsiTheme="minorHAnsi" w:cstheme="minorBidi"/>
            <w:b/>
            <w:bCs/>
            <w:noProof/>
            <w:kern w:val="0"/>
            <w:sz w:val="22"/>
            <w:szCs w:val="22"/>
          </w:rPr>
          <w:tab/>
        </w:r>
        <w:r w:rsidR="003464C5" w:rsidRPr="003464C5">
          <w:rPr>
            <w:rStyle w:val="Hyperlink"/>
            <w:b/>
            <w:bCs/>
            <w:noProof/>
          </w:rPr>
          <w:t>CAPAC is not included in MSG2 header, but in case of CAT4 LBT being indicated, the UE shall use the CAPAC corresponding to the CCCH logical channel.</w:t>
        </w:r>
      </w:hyperlink>
    </w:p>
    <w:p w14:paraId="7A956473" w14:textId="4EE82FDE"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3" w:history="1">
        <w:r w:rsidR="003464C5" w:rsidRPr="003464C5">
          <w:rPr>
            <w:rStyle w:val="Hyperlink"/>
            <w:b/>
            <w:bCs/>
            <w:noProof/>
          </w:rPr>
          <w:t>Proposal 5:</w:t>
        </w:r>
        <w:r w:rsidR="003464C5" w:rsidRPr="003464C5">
          <w:rPr>
            <w:rFonts w:asciiTheme="minorHAnsi" w:hAnsiTheme="minorHAnsi" w:cstheme="minorBidi"/>
            <w:b/>
            <w:bCs/>
            <w:noProof/>
            <w:kern w:val="0"/>
            <w:sz w:val="22"/>
            <w:szCs w:val="22"/>
          </w:rPr>
          <w:tab/>
        </w:r>
        <w:r w:rsidR="003464C5" w:rsidRPr="003464C5">
          <w:rPr>
            <w:rStyle w:val="Hyperlink"/>
            <w:b/>
            <w:bCs/>
            <w:noProof/>
          </w:rPr>
          <w:t>The 2 LSBs of the SFN are also included in the MSG2 header (i.e. again this field is not UE specific)</w:t>
        </w:r>
      </w:hyperlink>
    </w:p>
    <w:p w14:paraId="503B9466" w14:textId="4598FFF5"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4" w:history="1">
        <w:r w:rsidR="003464C5" w:rsidRPr="003464C5">
          <w:rPr>
            <w:rStyle w:val="Hyperlink"/>
            <w:b/>
            <w:bCs/>
            <w:noProof/>
          </w:rPr>
          <w:t>Proposal 6:</w:t>
        </w:r>
        <w:r w:rsidR="003464C5" w:rsidRPr="003464C5">
          <w:rPr>
            <w:rFonts w:asciiTheme="minorHAnsi" w:hAnsiTheme="minorHAnsi" w:cstheme="minorBidi"/>
            <w:b/>
            <w:bCs/>
            <w:noProof/>
            <w:kern w:val="0"/>
            <w:sz w:val="22"/>
            <w:szCs w:val="22"/>
          </w:rPr>
          <w:tab/>
        </w:r>
        <w:r w:rsidR="003464C5" w:rsidRPr="003464C5">
          <w:rPr>
            <w:rStyle w:val="Hyperlink"/>
            <w:b/>
            <w:bCs/>
            <w:noProof/>
          </w:rPr>
          <w:t>The same MSG2 format for NR-U will be reused on licensed carriers (when the response for RACH on NR-U carrier is sent on a licensed PCell)</w:t>
        </w:r>
      </w:hyperlink>
    </w:p>
    <w:p w14:paraId="18B8FA61" w14:textId="339B2400"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5" w:history="1">
        <w:r w:rsidR="003464C5" w:rsidRPr="003464C5">
          <w:rPr>
            <w:rStyle w:val="Hyperlink"/>
            <w:b/>
            <w:bCs/>
            <w:noProof/>
          </w:rPr>
          <w:t>Proposal 7:</w:t>
        </w:r>
        <w:r w:rsidR="003464C5" w:rsidRPr="003464C5">
          <w:rPr>
            <w:rFonts w:asciiTheme="minorHAnsi" w:hAnsiTheme="minorHAnsi" w:cstheme="minorBidi"/>
            <w:b/>
            <w:bCs/>
            <w:noProof/>
            <w:kern w:val="0"/>
            <w:sz w:val="22"/>
            <w:szCs w:val="22"/>
          </w:rPr>
          <w:tab/>
        </w:r>
        <w:r w:rsidR="003464C5" w:rsidRPr="003464C5">
          <w:rPr>
            <w:rStyle w:val="Hyperlink"/>
            <w:b/>
            <w:bCs/>
            <w:noProof/>
          </w:rPr>
          <w:t>A different search space/CORESET will be used for NR-U MSG2 response on licensed spectrum for the above case</w:t>
        </w:r>
      </w:hyperlink>
    </w:p>
    <w:p w14:paraId="0B6A0F3E" w14:textId="41F55CD4"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6" w:history="1">
        <w:r w:rsidR="003464C5" w:rsidRPr="003464C5">
          <w:rPr>
            <w:rStyle w:val="Hyperlink"/>
            <w:b/>
            <w:bCs/>
            <w:noProof/>
          </w:rPr>
          <w:t>Proposal 8:</w:t>
        </w:r>
        <w:r w:rsidR="003464C5" w:rsidRPr="003464C5">
          <w:rPr>
            <w:rFonts w:asciiTheme="minorHAnsi" w:hAnsiTheme="minorHAnsi" w:cstheme="minorBidi"/>
            <w:b/>
            <w:bCs/>
            <w:noProof/>
            <w:kern w:val="0"/>
            <w:sz w:val="22"/>
            <w:szCs w:val="22"/>
          </w:rPr>
          <w:tab/>
        </w:r>
        <w:r w:rsidR="003464C5" w:rsidRPr="003464C5">
          <w:rPr>
            <w:rStyle w:val="Hyperlink"/>
            <w:b/>
            <w:bCs/>
            <w:noProof/>
          </w:rPr>
          <w:t>Send an LS to RAN1 informing them about the above agreements</w:t>
        </w:r>
      </w:hyperlink>
    </w:p>
    <w:p w14:paraId="7ED7733E" w14:textId="2CAD4221" w:rsidR="003464C5" w:rsidRPr="003464C5" w:rsidRDefault="00742EA3">
      <w:pPr>
        <w:pStyle w:val="TOC1"/>
        <w:tabs>
          <w:tab w:val="left" w:pos="1470"/>
        </w:tabs>
        <w:spacing w:before="78" w:after="78"/>
        <w:rPr>
          <w:rFonts w:asciiTheme="minorHAnsi" w:hAnsiTheme="minorHAnsi" w:cstheme="minorBidi"/>
          <w:b/>
          <w:bCs/>
          <w:noProof/>
          <w:kern w:val="0"/>
          <w:sz w:val="22"/>
          <w:szCs w:val="22"/>
        </w:rPr>
      </w:pPr>
      <w:hyperlink w:anchor="_Toc21000957" w:history="1">
        <w:r w:rsidR="003464C5" w:rsidRPr="003464C5">
          <w:rPr>
            <w:rStyle w:val="Hyperlink"/>
            <w:b/>
            <w:bCs/>
            <w:noProof/>
          </w:rPr>
          <w:t>Proposal 9:</w:t>
        </w:r>
        <w:r w:rsidR="003464C5" w:rsidRPr="003464C5">
          <w:rPr>
            <w:rFonts w:asciiTheme="minorHAnsi" w:hAnsiTheme="minorHAnsi" w:cstheme="minorBidi"/>
            <w:b/>
            <w:bCs/>
            <w:noProof/>
            <w:kern w:val="0"/>
            <w:sz w:val="22"/>
            <w:szCs w:val="22"/>
          </w:rPr>
          <w:tab/>
        </w:r>
        <w:r w:rsidR="003464C5" w:rsidRPr="003464C5">
          <w:rPr>
            <w:rStyle w:val="Hyperlink"/>
            <w:b/>
            <w:bCs/>
            <w:noProof/>
          </w:rPr>
          <w:t>The fallbackRAR design will reuse the format of MSG2 on licensed and unlicensed carriers per above</w:t>
        </w:r>
      </w:hyperlink>
    </w:p>
    <w:p w14:paraId="2A6D1ACB" w14:textId="4D29CE7C" w:rsidR="003464C5" w:rsidRPr="003464C5" w:rsidRDefault="00742EA3">
      <w:pPr>
        <w:pStyle w:val="TOC1"/>
        <w:tabs>
          <w:tab w:val="left" w:pos="1470"/>
        </w:tabs>
        <w:spacing w:before="78" w:after="78"/>
        <w:rPr>
          <w:rFonts w:asciiTheme="minorHAnsi" w:hAnsiTheme="minorHAnsi" w:cstheme="minorBidi"/>
          <w:noProof/>
          <w:kern w:val="0"/>
          <w:sz w:val="22"/>
          <w:szCs w:val="22"/>
        </w:rPr>
      </w:pPr>
      <w:hyperlink w:anchor="_Toc21000958" w:history="1">
        <w:r w:rsidR="003464C5" w:rsidRPr="003464C5">
          <w:rPr>
            <w:rStyle w:val="Hyperlink"/>
            <w:b/>
            <w:bCs/>
            <w:noProof/>
          </w:rPr>
          <w:t>Proposal 10:</w:t>
        </w:r>
        <w:r w:rsidR="003464C5" w:rsidRPr="003464C5">
          <w:rPr>
            <w:rFonts w:asciiTheme="minorHAnsi" w:hAnsiTheme="minorHAnsi" w:cstheme="minorBidi"/>
            <w:b/>
            <w:bCs/>
            <w:noProof/>
            <w:kern w:val="0"/>
            <w:sz w:val="22"/>
            <w:szCs w:val="22"/>
          </w:rPr>
          <w:tab/>
        </w:r>
        <w:r w:rsidR="003464C5" w:rsidRPr="003464C5">
          <w:rPr>
            <w:rStyle w:val="Hyperlink"/>
            <w:b/>
            <w:bCs/>
            <w:noProof/>
          </w:rPr>
          <w:t>The MSGB design will include a new field to include the LSBs of SFN of RACH slot. There is no need to include the LBT category in MSGB since there is no MSG3 in case of 2-step RACH.</w:t>
        </w:r>
      </w:hyperlink>
    </w:p>
    <w:p w14:paraId="6972FFF4" w14:textId="46ABE24F" w:rsidR="00E63D20" w:rsidRPr="00E63D20" w:rsidRDefault="0040782D" w:rsidP="007A34E8">
      <w:pPr>
        <w:pStyle w:val="TOC1"/>
        <w:tabs>
          <w:tab w:val="left" w:pos="1470"/>
        </w:tabs>
        <w:spacing w:before="78" w:after="78"/>
      </w:pPr>
      <w:r w:rsidRPr="003464C5">
        <w:fldChar w:fldCharType="end"/>
      </w:r>
    </w:p>
    <w:p w14:paraId="3ABBC943"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2" w:name="_Toc18403976"/>
      <w:bookmarkStart w:id="23" w:name="_Toc18404543"/>
      <w:bookmarkStart w:id="24" w:name="_Toc18413612"/>
      <w:r>
        <w:rPr>
          <w:rFonts w:cs="Arial"/>
          <w:b w:val="0"/>
          <w:bCs w:val="0"/>
          <w:kern w:val="0"/>
          <w:sz w:val="32"/>
          <w:szCs w:val="36"/>
        </w:rPr>
        <w:t>References</w:t>
      </w:r>
      <w:bookmarkEnd w:id="22"/>
      <w:bookmarkEnd w:id="23"/>
      <w:bookmarkEnd w:id="24"/>
    </w:p>
    <w:p w14:paraId="196C9EF7" w14:textId="77777777" w:rsidR="00D67BFD" w:rsidRDefault="00D67BFD" w:rsidP="00D67BFD">
      <w:pPr>
        <w:widowControl/>
        <w:numPr>
          <w:ilvl w:val="0"/>
          <w:numId w:val="20"/>
        </w:numPr>
        <w:spacing w:after="180" w:line="240" w:lineRule="auto"/>
        <w:ind w:left="357" w:hanging="357"/>
        <w:rPr>
          <w:rFonts w:eastAsia="SimSun"/>
          <w:lang w:val="en-US" w:eastAsia="ja-JP"/>
        </w:rPr>
      </w:pPr>
      <w:r>
        <w:rPr>
          <w:rFonts w:eastAsia="SimSun" w:hint="eastAsia"/>
          <w:lang w:val="en-US" w:eastAsia="ja-JP"/>
        </w:rPr>
        <w:t>Draft_RAN2_107_Report_v1</w:t>
      </w:r>
      <w:r>
        <w:rPr>
          <w:rFonts w:eastAsia="SimSun" w:hint="eastAsia"/>
          <w:lang w:val="en-US" w:eastAsia="zh-CN"/>
        </w:rPr>
        <w:t>.</w:t>
      </w:r>
    </w:p>
    <w:p w14:paraId="771B26DE" w14:textId="77777777" w:rsidR="00D67BFD" w:rsidRDefault="00D67BFD" w:rsidP="00D67BFD">
      <w:pPr>
        <w:widowControl/>
        <w:numPr>
          <w:ilvl w:val="0"/>
          <w:numId w:val="20"/>
        </w:numPr>
        <w:spacing w:after="180" w:line="240" w:lineRule="auto"/>
        <w:ind w:left="357" w:hanging="357"/>
        <w:rPr>
          <w:sz w:val="22"/>
          <w:szCs w:val="22"/>
          <w:lang w:val="en-US" w:eastAsia="zh-CN"/>
        </w:rPr>
      </w:pPr>
      <w:r>
        <w:rPr>
          <w:rFonts w:hint="eastAsia"/>
          <w:sz w:val="22"/>
          <w:szCs w:val="22"/>
          <w:lang w:val="en-US" w:eastAsia="zh-CN"/>
        </w:rPr>
        <w:t>Draft_Minutes_report_RAN1#97_v030</w:t>
      </w:r>
    </w:p>
    <w:p w14:paraId="67AF1B3E" w14:textId="77777777" w:rsidR="00D67BFD" w:rsidRDefault="00D67BFD" w:rsidP="00D67BFD">
      <w:pPr>
        <w:widowControl/>
        <w:numPr>
          <w:ilvl w:val="0"/>
          <w:numId w:val="20"/>
        </w:numPr>
        <w:spacing w:after="180" w:line="240" w:lineRule="auto"/>
        <w:ind w:left="357" w:hanging="357"/>
        <w:rPr>
          <w:sz w:val="22"/>
          <w:szCs w:val="22"/>
          <w:lang w:val="en-US" w:eastAsia="zh-CN"/>
        </w:rPr>
      </w:pPr>
      <w:r>
        <w:rPr>
          <w:rFonts w:hint="eastAsia"/>
          <w:sz w:val="22"/>
          <w:szCs w:val="22"/>
          <w:lang w:val="en-US" w:eastAsia="zh-CN"/>
        </w:rPr>
        <w:t>38.213 f60.</w:t>
      </w:r>
    </w:p>
    <w:p w14:paraId="43B4F875" w14:textId="0BFAEB3A" w:rsidR="00D67BFD" w:rsidRDefault="00D67BFD" w:rsidP="00D67BFD">
      <w:pPr>
        <w:widowControl/>
        <w:numPr>
          <w:ilvl w:val="0"/>
          <w:numId w:val="20"/>
        </w:numPr>
        <w:spacing w:after="180" w:line="240" w:lineRule="auto"/>
        <w:ind w:left="357" w:hanging="357"/>
        <w:rPr>
          <w:sz w:val="22"/>
          <w:szCs w:val="22"/>
          <w:lang w:val="en-US" w:eastAsia="zh-CN"/>
        </w:rPr>
      </w:pPr>
      <w:bookmarkStart w:id="25" w:name="_Ref20915086"/>
      <w:r>
        <w:rPr>
          <w:sz w:val="22"/>
          <w:szCs w:val="22"/>
          <w:lang w:val="en-US" w:eastAsia="zh-CN"/>
        </w:rPr>
        <w:t xml:space="preserve">R2-19yxxxx, </w:t>
      </w:r>
      <w:r w:rsidR="00DD19A8" w:rsidRPr="00DD19A8">
        <w:rPr>
          <w:sz w:val="22"/>
          <w:szCs w:val="22"/>
          <w:lang w:val="en-US" w:eastAsia="zh-CN"/>
        </w:rPr>
        <w:t>Differentiating between MSG2 and MSGB</w:t>
      </w:r>
      <w:r>
        <w:rPr>
          <w:sz w:val="22"/>
          <w:szCs w:val="22"/>
          <w:lang w:val="en-US" w:eastAsia="zh-CN"/>
        </w:rPr>
        <w:t>, ZTE, RAN2#107-bis</w:t>
      </w:r>
      <w:bookmarkEnd w:id="25"/>
    </w:p>
    <w:p w14:paraId="26CA8B73" w14:textId="0F204553" w:rsidR="001841BA" w:rsidRDefault="001841BA" w:rsidP="008D4A09">
      <w:pPr>
        <w:pStyle w:val="NormalWeb"/>
        <w:spacing w:before="75" w:beforeAutospacing="0" w:after="75" w:afterAutospacing="0" w:line="315" w:lineRule="atLeast"/>
        <w:ind w:left="360"/>
        <w:rPr>
          <w:rFonts w:cs="Arial"/>
          <w:color w:val="000000"/>
          <w:sz w:val="21"/>
        </w:rPr>
      </w:pPr>
    </w:p>
    <w:p w14:paraId="43548B53" w14:textId="77777777" w:rsidR="001841BA" w:rsidRDefault="001841BA"/>
    <w:sectPr w:rsidR="001841BA" w:rsidSect="0014057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64EE8"/>
    <w:multiLevelType w:val="singleLevel"/>
    <w:tmpl w:val="FC464EE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F41D4"/>
    <w:multiLevelType w:val="hybridMultilevel"/>
    <w:tmpl w:val="53A2ECFA"/>
    <w:lvl w:ilvl="0" w:tplc="C83AEB40">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70D6B"/>
    <w:multiLevelType w:val="hybridMultilevel"/>
    <w:tmpl w:val="001A3A60"/>
    <w:lvl w:ilvl="0" w:tplc="EBBACB42">
      <w:start w:val="1"/>
      <w:numFmt w:val="decimal"/>
      <w:pStyle w:val="3GPPProposal"/>
      <w:lvlText w:val="Proposal %1:"/>
      <w:lvlJc w:val="left"/>
      <w:pPr>
        <w:ind w:left="0" w:hanging="360"/>
      </w:pPr>
      <w:rPr>
        <w:rFonts w:hint="default"/>
        <w:b/>
        <w:bCs w:val="0"/>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5807BB"/>
    <w:multiLevelType w:val="hybridMultilevel"/>
    <w:tmpl w:val="822C707E"/>
    <w:lvl w:ilvl="0" w:tplc="04F21742">
      <w:start w:val="1"/>
      <w:numFmt w:val="decimal"/>
      <w:pStyle w:val="3GPPObservation"/>
      <w:lvlText w:val="Observation %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1" w15:restartNumberingAfterBreak="0">
    <w:nsid w:val="456E47DB"/>
    <w:multiLevelType w:val="hybridMultilevel"/>
    <w:tmpl w:val="F1F27D88"/>
    <w:lvl w:ilvl="0" w:tplc="43CC72A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027EE3"/>
    <w:multiLevelType w:val="multilevel"/>
    <w:tmpl w:val="72027EE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2F20D2F"/>
    <w:multiLevelType w:val="hybridMultilevel"/>
    <w:tmpl w:val="9A9CBCAE"/>
    <w:lvl w:ilvl="0" w:tplc="C83AEB40">
      <w:start w:val="5"/>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0F16C4"/>
    <w:multiLevelType w:val="hybridMultilevel"/>
    <w:tmpl w:val="3DA0B09C"/>
    <w:lvl w:ilvl="0" w:tplc="AC3CEF2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2"/>
  </w:num>
  <w:num w:numId="4">
    <w:abstractNumId w:val="12"/>
  </w:num>
  <w:num w:numId="5">
    <w:abstractNumId w:val="9"/>
  </w:num>
  <w:num w:numId="6">
    <w:abstractNumId w:val="14"/>
  </w:num>
  <w:num w:numId="7">
    <w:abstractNumId w:val="15"/>
  </w:num>
  <w:num w:numId="8">
    <w:abstractNumId w:val="4"/>
  </w:num>
  <w:num w:numId="9">
    <w:abstractNumId w:val="3"/>
  </w:num>
  <w:num w:numId="10">
    <w:abstractNumId w:val="6"/>
  </w:num>
  <w:num w:numId="11">
    <w:abstractNumId w:val="8"/>
  </w:num>
  <w:num w:numId="12">
    <w:abstractNumId w:val="10"/>
  </w:num>
  <w:num w:numId="13">
    <w:abstractNumId w:val="7"/>
  </w:num>
  <w:num w:numId="14">
    <w:abstractNumId w:val="18"/>
  </w:num>
  <w:num w:numId="15">
    <w:abstractNumId w:val="0"/>
  </w:num>
  <w:num w:numId="16">
    <w:abstractNumId w:val="5"/>
  </w:num>
  <w:num w:numId="17">
    <w:abstractNumId w:val="16"/>
  </w:num>
  <w:num w:numId="18">
    <w:abstractNumId w:val="19"/>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63ED"/>
    <w:rsid w:val="000603D6"/>
    <w:rsid w:val="00063E1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337C"/>
    <w:rsid w:val="001B49C2"/>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F40"/>
    <w:rsid w:val="001E780B"/>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4C5"/>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118"/>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6ECA"/>
    <w:rsid w:val="003D01E0"/>
    <w:rsid w:val="003D08AE"/>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071"/>
    <w:rsid w:val="00462F02"/>
    <w:rsid w:val="00466EDC"/>
    <w:rsid w:val="00467368"/>
    <w:rsid w:val="00467D25"/>
    <w:rsid w:val="00470697"/>
    <w:rsid w:val="0047305C"/>
    <w:rsid w:val="00473B6A"/>
    <w:rsid w:val="0047403A"/>
    <w:rsid w:val="00474161"/>
    <w:rsid w:val="00474C36"/>
    <w:rsid w:val="00475E38"/>
    <w:rsid w:val="00477F0B"/>
    <w:rsid w:val="0048006F"/>
    <w:rsid w:val="00482BBB"/>
    <w:rsid w:val="00485114"/>
    <w:rsid w:val="00485AE4"/>
    <w:rsid w:val="00486111"/>
    <w:rsid w:val="00486757"/>
    <w:rsid w:val="0049176F"/>
    <w:rsid w:val="00492EA5"/>
    <w:rsid w:val="00493247"/>
    <w:rsid w:val="00494981"/>
    <w:rsid w:val="00495E19"/>
    <w:rsid w:val="0049613E"/>
    <w:rsid w:val="0049650D"/>
    <w:rsid w:val="00497EB9"/>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0D2"/>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5E8E"/>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2EA3"/>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260"/>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10DA"/>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93E"/>
    <w:rsid w:val="00C02D2A"/>
    <w:rsid w:val="00C0358E"/>
    <w:rsid w:val="00C05311"/>
    <w:rsid w:val="00C057BD"/>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BFD"/>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4C84"/>
    <w:rsid w:val="00DA7973"/>
    <w:rsid w:val="00DB3689"/>
    <w:rsid w:val="00DB3767"/>
    <w:rsid w:val="00DB39E0"/>
    <w:rsid w:val="00DB7729"/>
    <w:rsid w:val="00DB7BB9"/>
    <w:rsid w:val="00DC22BE"/>
    <w:rsid w:val="00DC5F62"/>
    <w:rsid w:val="00DC73DC"/>
    <w:rsid w:val="00DC7FAF"/>
    <w:rsid w:val="00DD02BA"/>
    <w:rsid w:val="00DD100B"/>
    <w:rsid w:val="00DD19A8"/>
    <w:rsid w:val="00DD34FE"/>
    <w:rsid w:val="00DD42F9"/>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DB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uiPriority w:val="99"/>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2554F9"/>
    <w:pPr>
      <w:numPr>
        <w:numId w:val="10"/>
      </w:numPr>
      <w:ind w:firstLineChars="0" w:firstLine="0"/>
      <w:jc w:val="left"/>
    </w:pPr>
    <w:rPr>
      <w:rFonts w:cs="Arial"/>
      <w:b/>
      <w:color w:val="000000"/>
    </w:rPr>
  </w:style>
  <w:style w:type="paragraph" w:customStyle="1" w:styleId="3GPPObservation">
    <w:name w:val="3GPPObservation"/>
    <w:basedOn w:val="ListParagraph"/>
    <w:link w:val="3GPPObservationChar"/>
    <w:qFormat/>
    <w:rsid w:val="00703480"/>
    <w:pPr>
      <w:numPr>
        <w:numId w:val="11"/>
      </w:numPr>
      <w:ind w:firstLineChars="0" w:firstLine="0"/>
    </w:pPr>
    <w:rPr>
      <w:rFonts w:cs="Arial"/>
      <w:color w:val="000000"/>
    </w:rPr>
  </w:style>
  <w:style w:type="character" w:customStyle="1" w:styleId="3GPPProposalChar">
    <w:name w:val="3GPPProposal Char"/>
    <w:basedOn w:val="ListParagraphChar"/>
    <w:link w:val="3GPPProposal"/>
    <w:rsid w:val="002554F9"/>
    <w:rPr>
      <w:rFonts w:cs="Arial"/>
      <w:b/>
      <w:color w:val="000000"/>
      <w:kern w:val="2"/>
      <w:sz w:val="21"/>
      <w:szCs w:val="24"/>
    </w:rPr>
  </w:style>
  <w:style w:type="character" w:customStyle="1" w:styleId="3GPPObservationChar">
    <w:name w:val="3GPPObservation Char"/>
    <w:basedOn w:val="ListParagraphChar"/>
    <w:link w:val="3GPPObservation"/>
    <w:rsid w:val="00703480"/>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888371550">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F1167D-6F90-469C-8131-645FE5EA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1722</Words>
  <Characters>9822</Characters>
  <Application>Microsoft Office Word</Application>
  <DocSecurity>0</DocSecurity>
  <Lines>81</Lines>
  <Paragraphs>23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Eswar2</cp:lastModifiedBy>
  <cp:revision>23</cp:revision>
  <cp:lastPrinted>2113-01-01T00:00:00Z</cp:lastPrinted>
  <dcterms:created xsi:type="dcterms:W3CDTF">2019-09-27T13:55:00Z</dcterms:created>
  <dcterms:modified xsi:type="dcterms:W3CDTF">2019-10-03T14:09:00Z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